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000"/>
        <w:jc w:val="center"/>
      </w:pPr>
      <w:r>
        <w:rPr>
          <w:rFonts w:ascii="Arial" w:cs="Arial" w:eastAsia="Arial" w:hAnsi="Arial"/>
          <w:b/>
          <w:bCs/>
          <w:color w:val="1F4E79"/>
          <w:sz w:val="52"/>
          <w:szCs w:val="52"/>
        </w:rPr>
        <w:t xml:space="preserve">IBO 2024 — Theoretical Exam Part A</w:t>
      </w:r>
    </w:p>
    <w:p>
      <w:pPr>
        <w:spacing w:after="200"/>
        <w:jc w:val="center"/>
      </w:pPr>
      <w:r>
        <w:rPr>
          <w:rFonts w:ascii="Arial" w:cs="Arial" w:eastAsia="Arial" w:hAnsi="Arial"/>
          <w:i/>
          <w:iCs/>
          <w:color w:val="444444"/>
          <w:sz w:val="32"/>
          <w:szCs w:val="32"/>
        </w:rPr>
        <w:t xml:space="preserve">Complete Solutions with Detailed Explanations</w:t>
      </w:r>
    </w:p>
    <w:p>
      <w:pPr>
        <w:spacing w:after="200"/>
        <w:jc w:val="center"/>
      </w:pPr>
      <w:r>
        <w:rPr>
          <w:rFonts w:ascii="Arial" w:cs="Arial" w:eastAsia="Arial" w:hAnsi="Arial"/>
          <w:color w:val="666666"/>
          <w:sz w:val="26"/>
          <w:szCs w:val="26"/>
        </w:rPr>
        <w:t xml:space="preserve">50 Questions (Q1–Q50) · IBO Kazakhstan 2024</w:t>
      </w:r>
    </w:p>
    <w:p>
      <w:pPr>
        <w:spacing w:after="1200"/>
        <w:jc w:val="center"/>
      </w:pPr>
      <w:r>
        <w:rPr>
          <w:rFonts w:ascii="Arial" w:cs="Arial" w:eastAsia="Arial" w:hAnsi="Arial"/>
          <w:color w:val="2E75B6"/>
          <w:sz w:val="22"/>
          <w:szCs w:val="22"/>
        </w:rPr>
        <w:t xml:space="preserve">Biosystematics · Cell &amp; Molecular Biology · Ecology · Ethology · Genetics &amp; Evolution · Plant &amp; Animal Physiology</w:t>
      </w:r>
    </w:p>
    <w:p>
      <w:pPr>
        <w:spacing w:after="200"/>
      </w:pPr>
      <w:r>
        <w:rPr>
          <w:rFonts w:ascii="Arial" w:cs="Arial" w:eastAsia="Arial" w:hAnsi="Arial"/>
          <w:i/>
          <w:iCs/>
          <w:color w:val="666666"/>
          <w:sz w:val="18"/>
          <w:szCs w:val="18"/>
        </w:rPr>
        <w:t xml:space="preserve">All exam questions are reproduced under CC BY-NC-SA 4.0 (IBO copyright — educational use, attributed to IBO 35th International Biology Olympiad, Kazakhstan 2024). Where solutions differ from the official answer key, a ⚠ note is provided.</w:t>
      </w:r>
    </w:p>
    <w:p>
      <w:r>
        <w:br w:type="page"/>
      </w:r>
    </w:p>
    <w:p>
      <w:pPr>
        <w:pStyle w:val="Heading1"/>
      </w:pPr>
      <w:r>
        <w:rPr>
          <w:rFonts w:ascii="Arial" w:cs="Arial" w:eastAsia="Arial" w:hAnsi="Arial"/>
          <w:b/>
          <w:bCs/>
          <w:color w:val="1F4E79"/>
          <w:sz w:val="34"/>
          <w:szCs w:val="34"/>
        </w:rPr>
        <w:t xml:space="preserve">How to Use This Document</w:t>
      </w:r>
    </w:p>
    <w:p>
      <w:pPr>
        <w:spacing w:after="100"/>
      </w:pPr>
      <w:r>
        <w:rPr>
          <w:rFonts w:ascii="Arial" w:cs="Arial" w:eastAsia="Arial" w:hAnsi="Arial"/>
          <w:sz w:val="22"/>
          <w:szCs w:val="22"/>
        </w:rPr>
        <w:t xml:space="preserve">Each question is followed by a context paragraph and a table with the answer (TRUE/FALSE) and a detailed explanation for each sub-question (A–D). Amber ⚠ notes flag answers that may differ from or require qualification relative to the official IBO answer key.</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Colour/Mark</w:t>
            </w:r>
          </w:p>
        </w:tc>
        <w:tc>
          <w:tcPr>
            <w:tcW w:type="dxa" w:w="71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Meaning</w:t>
            </w:r>
          </w:p>
        </w:tc>
      </w:tr>
      <w:tr>
        <w:tc>
          <w:tcPr>
            <w:tcW w:type="dxa" w:w="2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r>
              <w:rPr>
                <w:rFonts w:ascii="Arial" w:cs="Arial" w:eastAsia="Arial" w:hAnsi="Arial"/>
                <w:b/>
                <w:bCs/>
                <w:color w:val="276221"/>
                <w:sz w:val="20"/>
                <w:szCs w:val="20"/>
              </w:rPr>
              <w:t xml:space="preserve">Green — TRUE ✓</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The statement is correct (answer = TRUE)</w:t>
            </w:r>
          </w:p>
        </w:tc>
      </w:tr>
      <w:tr>
        <w:tc>
          <w:tcPr>
            <w:tcW w:type="dxa" w:w="2200"/>
            <w:tcBorders>
              <w:top w:val="single" w:color="CCCCCC" w:sz="1"/>
              <w:left w:val="single" w:color="CCCCCC" w:sz="1"/>
              <w:bottom w:val="single" w:color="CCCCCC" w:sz="1"/>
              <w:right w:val="single" w:color="CCCCCC" w:sz="1"/>
            </w:tcBorders>
            <w:shd w:fill="FCE4EC" w:val="clear"/>
            <w:tcMar>
              <w:top w:type="dxa" w:w="80"/>
              <w:left w:type="dxa" w:w="120"/>
              <w:bottom w:type="dxa" w:w="80"/>
              <w:right w:type="dxa" w:w="120"/>
            </w:tcMar>
          </w:tcPr>
          <w:p>
            <w:r>
              <w:rPr>
                <w:rFonts w:ascii="Arial" w:cs="Arial" w:eastAsia="Arial" w:hAnsi="Arial"/>
                <w:b/>
                <w:bCs/>
                <w:color w:val="B71C1C"/>
                <w:sz w:val="20"/>
                <w:szCs w:val="20"/>
              </w:rPr>
              <w:t xml:space="preserve">Red/Pink — FALSE ✗</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The statement is incorrect (answer = FALSE)</w:t>
            </w:r>
          </w:p>
        </w:tc>
      </w:tr>
      <w:tr>
        <w:tc>
          <w:tcPr>
            <w:tcW w:type="dxa" w:w="22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tcPr>
          <w:p>
            <w:r>
              <w:rPr>
                <w:rFonts w:ascii="Arial" w:cs="Arial" w:eastAsia="Arial" w:hAnsi="Arial"/>
                <w:b/>
                <w:bCs/>
                <w:color w:val="856404"/>
                <w:sz w:val="20"/>
                <w:szCs w:val="20"/>
              </w:rPr>
              <w:t xml:space="preserve">⚠ Amber Note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Answer may differ from or requires qualification relative to the official key</w:t>
            </w:r>
          </w:p>
        </w:tc>
      </w:tr>
    </w:tbl>
    <w:p>
      <w:r>
        <w:br w:type="page"/>
      </w:r>
    </w:p>
    <w:p>
      <w:pPr>
        <w:pStyle w:val="Heading1"/>
      </w:pPr>
      <w:r>
        <w:rPr>
          <w:rFonts w:ascii="Arial" w:cs="Arial" w:eastAsia="Arial" w:hAnsi="Arial"/>
          <w:b/>
          <w:bCs/>
          <w:color w:val="1F4E79"/>
          <w:sz w:val="34"/>
          <w:szCs w:val="34"/>
        </w:rPr>
        <w:t xml:space="preserve">Solutions — Questions 1–50</w:t>
      </w:r>
    </w:p>
    <w:p>
      <w:pPr>
        <w:pStyle w:val="Heading2"/>
        <w:spacing w:after="120" w:before="240"/>
      </w:pPr>
      <w:r>
        <w:rPr>
          <w:rFonts w:ascii="Arial" w:cs="Arial" w:eastAsia="Arial" w:hAnsi="Arial"/>
          <w:b/>
          <w:bCs/>
          <w:color w:val="1F4E79"/>
          <w:sz w:val="26"/>
          <w:szCs w:val="26"/>
        </w:rPr>
        <w:t xml:space="preserve">Question 1 — Biosystematics — Tulip Parsimony and Morphological Characters</w:t>
      </w:r>
    </w:p>
    <w:p>
      <w:pPr>
        <w:spacing w:after="140" w:before="60"/>
      </w:pPr>
      <w:r>
        <w:rPr>
          <w:rFonts w:ascii="Arial" w:cs="Arial" w:eastAsia="Arial" w:hAnsi="Arial"/>
          <w:i/>
          <w:iCs/>
          <w:color w:val="404040"/>
          <w:sz w:val="21"/>
          <w:szCs w:val="21"/>
        </w:rPr>
        <w:t xml:space="preserve">Context: Five Kazakhstan tulip species are compared across five morphological characters (A–E). T. borszczowii represents the common ancestor. A parsimony tree must be reconstructed from character-state changes. The question asks about the phylogenetic groupings, character reversals, monocot leaf vein types, and the relative order of character evolution.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 lemmersii, T. salsola and T. bifloroformis do NOT form a polyphyletic group. A polyphyletic group would require its members to have originated from different ancestors, with each member actually being closer to non-members than to each other. Under maximum parsimony, these three share derived characters that place them in a monophyletic or paraphyletic arrangement — not polyphyletic. The official key confirms this is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Under maximum parsimony, the most parsimonious tree does not necessarily require any character reversals (reversions to an ancestral state). The phylogenetic reconstruction from the five character states can be explained without invoking a reversal — the most parsimonious explanation involves homoplasy that is adequately accounted for without reversals. Official key confirms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All species within genus Tulipa are monocotyledons. Monocots characteristically have parallel or arcuate (curved-parallel) leaf venation as a defining trait. Unlike eudicots, which have reticulate (net-like) venation, all tulip species — being monocots — share leaves with either arcuate or parallel veins. This is a synapomorphy of the monocotyledons.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From the parsimony tree, having two or more flowers (character B, value 2+) is a derived state found only in T. bifloroformis. In the parsimony framework, this character state must have arisen after the branch leading to T. bifloroformis diverged from the rest. Since T. bifloroformis is placed in a derived position in the tree, this character evolved most recently compared to the other listed characters.</w:t>
            </w:r>
          </w:p>
        </w:tc>
      </w:tr>
    </w:tbl>
    <w:p>
      <w:pPr>
        <w:spacing w:after="280"/>
      </w:pPr>
    </w:p>
    <w:p>
      <w:pPr>
        <w:pStyle w:val="Heading2"/>
        <w:spacing w:after="120" w:before="240"/>
      </w:pPr>
      <w:r>
        <w:rPr>
          <w:rFonts w:ascii="Arial" w:cs="Arial" w:eastAsia="Arial" w:hAnsi="Arial"/>
          <w:b/>
          <w:bCs/>
          <w:color w:val="1F4E79"/>
          <w:sz w:val="26"/>
          <w:szCs w:val="26"/>
        </w:rPr>
        <w:t xml:space="preserve">Question 2 — Biosystematics — Strigiformes (Owls) Phylogenetic Identification</w:t>
      </w:r>
    </w:p>
    <w:p>
      <w:pPr>
        <w:spacing w:after="140" w:before="60"/>
      </w:pPr>
      <w:r>
        <w:rPr>
          <w:rFonts w:ascii="Arial" w:cs="Arial" w:eastAsia="Arial" w:hAnsi="Arial"/>
          <w:i/>
          <w:iCs/>
          <w:color w:val="404040"/>
          <w:sz w:val="21"/>
          <w:szCs w:val="21"/>
        </w:rPr>
        <w:t xml:space="preserve">Context: Five Kazakhstani owl species from unknown genera are compared against a Strigiformes phylogenetic tree. Geographic distribution data, species counts per genus, and timing of common ancestors are used to identify genera and test phylogenetic statements. Key facts: Species 3 &amp; 5 share a common ancestor 5 Mya; Species 2 &amp; 3 share one 20 Mya; Species 5 &amp; 4 share one 40 Mya. Species 1's genus has never been found in the Philippines.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By systematically working through the phylogenetic tree and geographic distributions, species 5 can be identified as Surnia ulula (Northern hawk-owl), the sole member of the genus Surnia. The process of elimination using the timing of common ancestors (Species 3&amp;5 at 5 Mya, Species 2&amp;3 at 20 Mya, Species 4&amp;5 at 40 Mya) and the geographic constraint on species 1 (never in Philippines) uniquely identifies each genus. Surnia with one species is confirmed.</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most recently related pair among the five is Species 3 and 5 (MRCA at 5 Mya). The second most recently related pair involves Species 2 sharing an ancestor with the 3&amp;5 clade at 20 Mya — making Species 2 second-most-related to 3 and 5 together. Species 1 and 4 are NOT the second-most-closely related pair. The identifications are: 1=Asio, 2=Athene, 3=Glaucidium, 4=Otus, 5=Surnia ulula.</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Using the phylogenetic tree structure and geographic clues, all five species can be uniquely assigned to DIFFERENT genera: Species 1 = Asio, Species 2 = Athene, Species 3 = Glaucidium, Species 4 = Otus, Species 5 = Surnia. Each species belongs to a distinct genus, so no two of the five given species share the same genus.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This concerns the geographic distribution of Strix owls. If the most recent common ancestor of the Pulsatrix-Megascops clade lived in Africa/Eurasia, explaining the current American distribution would require two independent migrations to America plus two extinction events in Africa/Eurasia — a total of four events. If the MRCA lived in America, only a single migration event from America to Africa/Eurasia is needed — far more parsimonious. Hence a single American-to-African/Eurasian migration is more parsimonious.</w:t>
            </w:r>
          </w:p>
        </w:tc>
      </w:tr>
    </w:tbl>
    <w:p>
      <w:pPr>
        <w:spacing w:after="280"/>
      </w:pPr>
    </w:p>
    <w:p>
      <w:pPr>
        <w:pStyle w:val="Heading2"/>
        <w:spacing w:after="120" w:before="240"/>
      </w:pPr>
      <w:r>
        <w:rPr>
          <w:rFonts w:ascii="Arial" w:cs="Arial" w:eastAsia="Arial" w:hAnsi="Arial"/>
          <w:b/>
          <w:bCs/>
          <w:color w:val="1F4E79"/>
          <w:sz w:val="26"/>
          <w:szCs w:val="26"/>
        </w:rPr>
        <w:t xml:space="preserve">Question 3 — Biosystematics — Bacterial Phylogenomics (RNA Polymerase vs Transposase)</w:t>
      </w:r>
    </w:p>
    <w:p>
      <w:pPr>
        <w:spacing w:after="140" w:before="60"/>
      </w:pPr>
      <w:r>
        <w:rPr>
          <w:rFonts w:ascii="Arial" w:cs="Arial" w:eastAsia="Arial" w:hAnsi="Arial"/>
          <w:i/>
          <w:iCs/>
          <w:color w:val="404040"/>
          <w:sz w:val="21"/>
          <w:szCs w:val="21"/>
        </w:rPr>
        <w:t xml:space="preserve">Context: Phylogenetic trees X, Y (from two gene alignments I and II) and reference tree Z (from ribosomal genes) are compared for four bacterial strains A, B, C, D (D is outgroup). Tree X shows topology (C,B),A rooted at D; Tree Y shows (A,B),C; Tree Z (reference) shows (A,B),C. Alignment snapshots with 5 positions are provided. The task involves identifying which alignment corresponds to which tree and evaluating parsimony.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Alignment I produces Tree X as the most parsimonious solution. When tracing the five alignment positions under parsimony with D as outgroup, the minimum changes across the tree (5 total changes) match the topology of Tree X — with C and B sister to each other, and A more distant. This is the most parsimonious reconstruction from Alignment I.</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In Alignment I, only 3 out of 5 positions are phylogenetically informative (parsimony-informative). Site #3 is identical across all four taxa — it is invariant and contributes no information. Site #5 varies only in taxon C (C has A while others have T), making it an autapomorphy of C; a single change on any tree explains it equally, so it is not useful for discriminating among tree topologies. Only sites with at least two taxa sharing one state and two sharing another (shared derived characters) are informative.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Tree X is incongruent with the reference phylogeny (Tree Z). RNA polymerase beta is a conserved housekeeping gene closely tracking organismal evolution — its tree would be expected to match the reference tree (Z). Transposase genes are part of mobile genetic elements (transposons) that can undergo horizontal gene transfer, causing gene tree incongruence with the species tree. Therefore, Tree X (incongruent with Z) corresponds to the transposase gene, not to RNA polymerase beta.</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With D fixed as outgroup, the remaining three taxa A, B, C can be arranged in exactly THREE possible unrooted topologies: (A,B) sister to C; (A,C) sister to B; or (B,C) sister to A. With D as outgroup and the tree rooted, these three arrangements give three possible tree topologies, not two. The statement that only two topologies are possible is incorrect.</w:t>
            </w:r>
          </w:p>
        </w:tc>
      </w:tr>
    </w:tbl>
    <w:p>
      <w:pPr>
        <w:spacing w:after="280"/>
      </w:pPr>
    </w:p>
    <w:p>
      <w:pPr>
        <w:pStyle w:val="Heading2"/>
        <w:spacing w:after="120" w:before="240"/>
      </w:pPr>
      <w:r>
        <w:rPr>
          <w:rFonts w:ascii="Arial" w:cs="Arial" w:eastAsia="Arial" w:hAnsi="Arial"/>
          <w:b/>
          <w:bCs/>
          <w:color w:val="1F4E79"/>
          <w:sz w:val="26"/>
          <w:szCs w:val="26"/>
        </w:rPr>
        <w:t xml:space="preserve">Question 4 — Cell &amp; Molecular Biology — Tumor Microenvironment: OCR and Extracellular pH</w:t>
      </w:r>
    </w:p>
    <w:p>
      <w:pPr>
        <w:spacing w:after="140" w:before="60"/>
      </w:pPr>
      <w:r>
        <w:rPr>
          <w:rFonts w:ascii="Arial" w:cs="Arial" w:eastAsia="Arial" w:hAnsi="Arial"/>
          <w:i/>
          <w:iCs/>
          <w:color w:val="404040"/>
          <w:sz w:val="21"/>
          <w:szCs w:val="21"/>
        </w:rPr>
        <w:t xml:space="preserve">Context: Cancer cells show altered oxygen consumption rates (OCR) and extracellular pH. Figure 1A compares single-cell OCR (arbitrary units) of normal vs. cancer cells from three patients, with asterisks indicating significant differences. Figure 1B shows extracellular pH of normal tissue vs. tumor tissue across multiple cancer types. The Warburg effect predicts that cancer cells preferentially use aerobic glycolysis, producing lactic acid and acidifying the extracellular environment.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1A shows that cancer cells have a HIGHER oxygen consumption rate than normal cells (for the patients with statistically significant differences). Higher OCR reflects elevated metabolic rate, not decreased. Cancer cells proliferate rapidly and require high energy production — they consume more oxygen per cell to support this increased metabolic demand via oxidative phosphorylation, alongside their upregulated aerobic glycolysis.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Cancer cells upregulate aerobic glycolysis (the Warburg effect) — they preferentially ferment glucose to lactate even in the presence of oxygen, producing lactic acid. This increases extracellular lactate and H⁺ concentration, lowering the pH. The altered ratio of anaerobic glycolysis (fermentation) to oxidative phosphorylation in cancer cells — with more glucose going through fermentation — directly explains the acidic tumor microenvironment (pH 6.5–6.9 in tumors vs. 7.35–7.45 in normal tissue).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Elevated oxygen consumption by cancer cells means they CONSUME more oxygen, creating hypoxic (oxygen-poor) conditions in the tumor microenvironment, not hyperoxic. The rapid proliferation of cancer cells outpaces blood vessel supply, and their high metabolic demand depletes local O₂ — tumors are typically hypoxic. Hypoxia in turn further upregulates HIF-1α and promotes anaerobic glycolysis.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1A shows that the cancer cells of Patient 2 display the GREATEST variation in single-cell OCR — the error bars (spread of data) are the widest for Patient 2's cancer cells. Greater variability in single-cell OCR indicates greater heterogeneity among individual cancer cells. Therefore, Patient 2's cancer cells are MORE heterogeneous, not Patient 3's.</w:t>
            </w:r>
          </w:p>
        </w:tc>
      </w:tr>
    </w:tbl>
    <w:p>
      <w:pPr>
        <w:spacing w:after="280"/>
      </w:pPr>
    </w:p>
    <w:p>
      <w:pPr>
        <w:pStyle w:val="Heading2"/>
        <w:spacing w:after="120" w:before="240"/>
      </w:pPr>
      <w:r>
        <w:rPr>
          <w:rFonts w:ascii="Arial" w:cs="Arial" w:eastAsia="Arial" w:hAnsi="Arial"/>
          <w:b/>
          <w:bCs/>
          <w:color w:val="1F4E79"/>
          <w:sz w:val="26"/>
          <w:szCs w:val="26"/>
        </w:rPr>
        <w:t xml:space="preserve">Question 5 — Cell &amp; Molecular Biology — Antibody Mutagenesis and Cardiac Glycoside Binding (ELISA)</w:t>
      </w:r>
    </w:p>
    <w:p>
      <w:pPr>
        <w:spacing w:after="140" w:before="60"/>
      </w:pPr>
      <w:r>
        <w:rPr>
          <w:rFonts w:ascii="Arial" w:cs="Arial" w:eastAsia="Arial" w:hAnsi="Arial"/>
          <w:i/>
          <w:iCs/>
          <w:color w:val="404040"/>
          <w:sz w:val="21"/>
          <w:szCs w:val="21"/>
        </w:rPr>
        <w:t xml:space="preserve">Context: Single amino acid substitutions were introduced in an antibody binding site. ELISA binding to four cardiac glycosides (P=digoxigenin, Q=ouabain, R=digoxin, S=digitoxin) was measured as absorbance scaled relative to wild-type (=1.0). Heatmaps show binding changes at mutated positions. Figure 1B shows structural differences between the glycosides — digoxigenin (P) lacks the sugar moieties (W) present in the others.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At position Tyr-33, substitution by aromatic amino acids — specifically Trp (tryptophan, W) and Phe (phenylalanine, F) — shows the highest absorbance ratios (above 1.0, stronger than wild-type) compared to non-aromatic substitutions. Aromatic rings can maintain hydrophobic pi-stacking or van der Waals interactions with the cardiac glycoside ligand. The heatmap confirms that aromatic substitutions at Tyr-33 perform best relative to all other mutation types at that position.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Not all shown amino acid positions have at least one substitution that improves antibody affinity. Specifically, at position Asn (shown in Figure 1A.1 in the heatmaps), the wild-type shows higher affinity to all four glycosides than ALL mutants at that position — no substitution improves binding. The wild-type Asn is optimal and any change reduces or maintains (at best) affinity. This disproves the statement.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The double substitution Tyr-33→Trp and Trp-100→Arg combines the two individually highest-performing substitutions in their respective positions. Tyr-33-Trp maintains aromatic interactions, while Trp-100-Arg adds a positively charged residue that can form additional ionic/electrostatic interactions. These mutations show the highest absorbance ratios individually, so combining them would likely yield high binding for all four cardiac glycosides, making such an antibody a suitable candidate for detection systems.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Digoxigenin (P) differs from the other three glycosides by lacking the sugar moieties (W = sugar groups). The heatmap shows that digoxigenin behaves distinctly from digoxin, digitoxin, and ouabain across all mutation positions. Since digoxigenin is the aglycone (steroid core only, no sugars), its different binding profile compared to the sugar-containing glycosides directly demonstrates that the sugar moieties contribute to antibody-antigen affinity differences.</w:t>
            </w:r>
          </w:p>
        </w:tc>
      </w:tr>
    </w:tbl>
    <w:p>
      <w:pPr>
        <w:spacing w:after="280"/>
      </w:pPr>
    </w:p>
    <w:p>
      <w:pPr>
        <w:pStyle w:val="Heading2"/>
        <w:spacing w:after="120" w:before="240"/>
      </w:pPr>
      <w:r>
        <w:rPr>
          <w:rFonts w:ascii="Arial" w:cs="Arial" w:eastAsia="Arial" w:hAnsi="Arial"/>
          <w:b/>
          <w:bCs/>
          <w:color w:val="1F4E79"/>
          <w:sz w:val="26"/>
          <w:szCs w:val="26"/>
        </w:rPr>
        <w:t xml:space="preserve">Question 6 — Cell &amp; Molecular Biology — Ramachandran Plot and Peptide Bond Geometry</w:t>
      </w:r>
    </w:p>
    <w:p>
      <w:pPr>
        <w:spacing w:after="140" w:before="60"/>
      </w:pPr>
      <w:r>
        <w:rPr>
          <w:rFonts w:ascii="Arial" w:cs="Arial" w:eastAsia="Arial" w:hAnsi="Arial"/>
          <w:i/>
          <w:iCs/>
          <w:color w:val="404040"/>
          <w:sz w:val="21"/>
          <w:szCs w:val="21"/>
        </w:rPr>
        <w:t xml:space="preserve">Context: The Ramachandran plot maps allowed combinations of φ (phi) and ψ (psi) backbone dihedral angles for amino acids in a protein. Region 1 = α-helix region (φ≈-60°, ψ≈-60°); Region 2 = β-sheet region (φ≈-120°, ψ≈+120°); Region 3 = left-handed helix region (φ≈+60°, ψ≈+60°). Figure 1D shows three amino acid residue structures (a), (b), (c) with their φ/ψ angles to be identified and placed on the Ramachandran plot.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Structure (a) has φ≈−100° and ψ≈+120° based on the bond rotation shown. These angles place it in Region 1 of the Ramachandran plot (β-sheet/extended region), NOT Region 2. The β-strand region occupies the upper-left quadrant of the Ramachandran plot (negative φ, positive ψ). Region 2 in the question refers to a different region. The official answer key confirms (a) is located in Region 1, not Region 2.</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Structure (b) has φ≈−60° and ψ≈−60° based on its bond rotation angles. These values place it firmly in Region 2 of the Ramachandran plot — the α-helical region (lower-left favored region). Region 3 typically corresponds to the left-handed helix region (positive φ, positive ψ). Structure (b) is at α-helix angles, not Region 3.</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Structure (c) has φ≈+90° and ψ≈−90°. These angles fall outside the normally allowed (favored) regions of the Ramachandran plot for non-glycine residues. The Ramachandran plot for rabbit pyruvate kinase shows that the combination of +90° φ and −90° ψ is in a sparse or disallowed region. Thus, such a structure is uncommon (rarely observed) in the protein. Glycine, with its minimal side chain, is the only residue that can commonly occupy this region.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At Φ=0° and ψ=0°, the peptide backbone would be in an eclipsed conformation creating severe steric clashes between adjacent backbone atoms (carbonyl oxygen, amide nitrogen, and side chain atoms). The Ramachandran plot for rabbit pyruvate kinase shows a complete absence of data points near (0°, 0°) — this region is fully sterically forbidden for all amino acids except glycine (which has H instead of a side chain). So no amino acid other than glycine can adopt 0°/0° dihedral angles in this protein.</w:t>
            </w:r>
          </w:p>
        </w:tc>
      </w:tr>
    </w:tbl>
    <w:p>
      <w:pPr>
        <w:spacing w:after="280"/>
      </w:pPr>
    </w:p>
    <w:p>
      <w:pPr>
        <w:pStyle w:val="Heading2"/>
        <w:spacing w:after="120" w:before="240"/>
      </w:pPr>
      <w:r>
        <w:rPr>
          <w:rFonts w:ascii="Arial" w:cs="Arial" w:eastAsia="Arial" w:hAnsi="Arial"/>
          <w:b/>
          <w:bCs/>
          <w:color w:val="1F4E79"/>
          <w:sz w:val="26"/>
          <w:szCs w:val="26"/>
        </w:rPr>
        <w:t xml:space="preserve">Question 7 — Cell &amp; Molecular Biology — Pentose Phosphate Pathway (PPP)</w:t>
      </w:r>
    </w:p>
    <w:p>
      <w:pPr>
        <w:spacing w:after="140" w:before="60"/>
      </w:pPr>
      <w:r>
        <w:rPr>
          <w:rFonts w:ascii="Arial" w:cs="Arial" w:eastAsia="Arial" w:hAnsi="Arial"/>
          <w:i/>
          <w:iCs/>
          <w:color w:val="404040"/>
          <w:sz w:val="21"/>
          <w:szCs w:val="21"/>
        </w:rPr>
        <w:t xml:space="preserve">Context: The PPP has an oxidative phase (irreversible: G6P → Ribulose-5P + 2 NADPH + CO₂, catalyzed by G6PDH) and a non-oxidative phase (reversible: interconversions of pentose phosphates using TKT/transaldolase, yielding R5P, F6P, GA3P). TKT (transketolase) transfers two-carbon fragments between sugar phosphates. The pathway generates NADPH for ROS reduction and R5P for nucleotide synthesis.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In actively dividing cells, the demand for ribose-5-phosphate (R5P) for nucleotide synthesis is high. R5P is produced by the oxidative phase (before TKT acts in the non-oxidative phase). The non-oxidative reactions occurring AFTER the first TKT reaction use R5P as a substrate to regenerate F6P and GA3P. Since dividing cells need R5P, they preferentially run the oxidative phase more actively to generate R5P, while the subsequent TKT-catalyzed non-oxidative reactions that consume R5P are less active by comparison.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TKT (transketolase) transfers a TWO-CARBON fragment (a glycoaldehyde unit), not a one-carbon fragment. This is a distinguishing feature of the reaction: transketolase transfers -CH(OH)-C=O groups (2 carbons) from a ketose donor to an aldose acceptor. One-carbon transfers are performed by folate-dependent enzymes (thymidylate synthase, methylene-THF, etc.) or serine hydroxymethyltransferase, not TKT.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G6PDH (glucose-6-phosphate dehydrogenase) catalyzes the first and rate-limiting step of the oxidative PPP, producing NADPH. Without G6PDH, NADPH production from PPP is severely reduced. In red blood cells (RBCs), which lack mitochondria and therefore cannot generate NADPH via the TCA cycle or OXPHOS, the PPP is the PRIMARY source of NADPH. G6PDH deficiency (the most common human enzyme deficiency) reduces NADPH, impairing glutathione reduction and ROS detoxification in RBCs.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From the PPP reaction scheme, to produce two molecules of F6P from G6P requires THREE molecules of G6P (not one). The non-oxidative phase operates as: 3 Ribulose-5P → 2 F6P + 1 GA3P (net). Since each G6P generates one ribulose-5P in the oxidative phase, three G6P are needed to ultimately produce two F6P via both phases combined. A single G6P molecule cannot yield two F6P molecules.</w:t>
            </w:r>
          </w:p>
        </w:tc>
      </w:tr>
    </w:tbl>
    <w:p>
      <w:pPr>
        <w:spacing w:after="280"/>
      </w:pPr>
    </w:p>
    <w:p>
      <w:pPr>
        <w:pStyle w:val="Heading2"/>
        <w:spacing w:after="120" w:before="240"/>
      </w:pPr>
      <w:r>
        <w:rPr>
          <w:rFonts w:ascii="Arial" w:cs="Arial" w:eastAsia="Arial" w:hAnsi="Arial"/>
          <w:b/>
          <w:bCs/>
          <w:color w:val="1F4E79"/>
          <w:sz w:val="26"/>
          <w:szCs w:val="26"/>
        </w:rPr>
        <w:t xml:space="preserve">Question 8 — Cell &amp; Molecular Biology — IGF2-H19 Imprinting and CTCF Loops</w:t>
      </w:r>
    </w:p>
    <w:p>
      <w:pPr>
        <w:spacing w:after="140" w:before="60"/>
      </w:pPr>
      <w:r>
        <w:rPr>
          <w:rFonts w:ascii="Arial" w:cs="Arial" w:eastAsia="Arial" w:hAnsi="Arial"/>
          <w:i/>
          <w:iCs/>
          <w:color w:val="404040"/>
          <w:sz w:val="21"/>
          <w:szCs w:val="21"/>
        </w:rPr>
        <w:t xml:space="preserve">Context: The IGF2-H19 locus is imprinted. On the paternal chromosome, the ICR (imprinting control region) is methylated → CTCF cannot bind → enhancer activates IGF2 (H19 silent). On the maternal chromosome, ICR is unmethylated → CTCF binds → forms chromatin loops blocking enhancer access to IGF2; instead, enhancer activates H19. CTCF and cohesin form DNA loops. The locus has 4 CTCF binding sites (1–4), one enhancer, IGF2, and H19.</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A single CTCF binding site CAN participate in MORE than one DNA loop simultaneously. Figures A and B show that the DNA loops at the IGF2-H19 locus involve multiple CTCF sites anchoring loops together — forming a network of 2 or 3 loops. If each CTCF site could only form one loop, the maximum would be 2 loops, but Figure A (paternal, with 2 CTCF sites binding) shows multiple looping configurations. Multiple anchor points at the same CTCF site are possible and observed.</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ICR corresponds to CTCF binding site 3, not site 2. Evidence: on the paternal chromosome where the ICR is methylated, CTCF cannot bind and only 2 loops form instead of 3. The site that is 'missing' (not participating in loop formation on the paternal chromosome) is the ICR. Comparing paternal (2 loops, sites 1,2,4) vs. maternal (3 loops, sites 1,2,3,4), the extra loop on the maternal chromosome involves site 3. Therefore CTCF site 3 = ICR.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From Figures A and B, IGF2 expression depends on enhancer proximity. The enhancer must be located between H19 and CTCF site 4 to explain the looping data. On the paternal chromosome, the loops bring the enhancer close to IGF2 (activating it). On the maternal chromosome, loops insulate IGF2 from the enhancer while allowing enhancer-H19 proximity. This positioning — between H19 and CTCF-BS4 — is the only arrangement consistent with both figures.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H19 expression is regulated directly by ICR methylation independently of the enhancer. The ICR overlaps with (or is adjacent to) the H19 promoter. When the ICR/H19 promoter is methylated (paternal chromosome), transcription factors cannot access the promoter, and H19 is silenced directly — regardless of enhancer activity. On the maternal chromosome, the unmethylated H19 promoter can be activated. This direct methylation-dependent regulation of H19 occurs independently of enhancer looping.</w:t>
            </w:r>
          </w:p>
        </w:tc>
      </w:tr>
    </w:tbl>
    <w:p>
      <w:pPr>
        <w:spacing w:after="280"/>
      </w:pPr>
    </w:p>
    <w:p>
      <w:pPr>
        <w:pStyle w:val="Heading2"/>
        <w:spacing w:after="120" w:before="240"/>
      </w:pPr>
      <w:r>
        <w:rPr>
          <w:rFonts w:ascii="Arial" w:cs="Arial" w:eastAsia="Arial" w:hAnsi="Arial"/>
          <w:b/>
          <w:bCs/>
          <w:color w:val="1F4E79"/>
          <w:sz w:val="26"/>
          <w:szCs w:val="26"/>
        </w:rPr>
        <w:t xml:space="preserve">Question 9 — Cell &amp; Molecular Biology — ATAD1 Mitochondrial ATPase (Cryo-EM Study)</w:t>
      </w:r>
    </w:p>
    <w:p>
      <w:pPr>
        <w:spacing w:after="140" w:before="60"/>
      </w:pPr>
      <w:r>
        <w:rPr>
          <w:rFonts w:ascii="Arial" w:cs="Arial" w:eastAsia="Arial" w:hAnsi="Arial"/>
          <w:i/>
          <w:iCs/>
          <w:color w:val="404040"/>
          <w:sz w:val="21"/>
          <w:szCs w:val="21"/>
        </w:rPr>
        <w:t xml:space="preserve">Context: ATAD1 is a mitochondrial homohexameric AAA+ ATPase. Cryo-EM resolved its structure. The density map averaged across conformations shows an unclear (flexible) M6 subunit. The top view shows C-terminal alpha helices holding subunits together. The central pore contains interacting aromatic amino acids that grip the substrate. Fluorescent assay: wild-type ATAD1 removes Gos28 (a transmembrane protein) from the mitochondrial membrane; E193Q mutant (Glu→Gln, loss of charge) does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Cryo-EM generates high-quality maps by averaging many low-resolution images. When a subunit (M6) appears unclear/blurry in the average density map, it means this subunit differs in position or conformation across the individual particle images — it is flexible and not in a fixed position. However, this does not mean only ONE subunit is flexible at any given moment. The unclear density reflects statistical averaging across many molecules — at any given moment, the flexible subunit could be any of the 6 subunits, each being flexible in turn during the ATPase cycle.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C-terminal alpha helices visible in Figure 1B hold the six ATAD1 subunits together at the periphery of the hexamer ring. These intersubunit contact helices must have a dual hydrophobic/hydrophilic character: the face contacting adjacent subunit (protein-protein interface) would be hydrophobic, but the face exposed to the aqueous environment must be hydrophilic. If these helices were composed ENTIRELY of hydrophobic amino acids, they could not be solvent-exposed. Therefore, they are NOT made entirely from hydrophobic amino acids.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Position E193 (Glu, charge −1) mutated to Q193 (Gln, neutral) removes the negative charge. However, Figure 1C shows that E193 is OUTSIDE the central pore — it does not appear among the colored residues lining the pore that directly contact the substrate (the black polypeptide chain). Therefore, the E193Q mutation affects the ATPase activity (ATP hydrolysis) rather than directly altering the physical substrate-grabbing interaction at the pore. The charge change at position 193 does NOT affect direct physical interaction with the substrate.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ATAD1 does not translocate proteins mislocalized into the mitochondrial MATRIX. The fluorescent assay (Figure 1D) shows that ATAD1 removes Gos28 — a transmembrane protein mislocalized to the OUTER mitochondrial MEMBRANE. The structure of the central pore (lined with aromatic amino acids suited for hydrophobic protein segments) and the assay showing Gos28 (a membrane protein) removal both indicate ATAD1 extracts mislocalized TRANSMEMBRANE proteins from the membrane — not matrix proteins.</w:t>
            </w:r>
          </w:p>
        </w:tc>
      </w:tr>
    </w:tbl>
    <w:p>
      <w:pPr>
        <w:spacing w:after="280"/>
      </w:pPr>
    </w:p>
    <w:p>
      <w:pPr>
        <w:pStyle w:val="Heading2"/>
        <w:spacing w:after="120" w:before="240"/>
      </w:pPr>
      <w:r>
        <w:rPr>
          <w:rFonts w:ascii="Arial" w:cs="Arial" w:eastAsia="Arial" w:hAnsi="Arial"/>
          <w:b/>
          <w:bCs/>
          <w:color w:val="1F4E79"/>
          <w:sz w:val="26"/>
          <w:szCs w:val="26"/>
        </w:rPr>
        <w:t xml:space="preserve">Question 10 — Cell &amp; Molecular Biology — Magnetotactic Bacteria Navigation</w:t>
      </w:r>
    </w:p>
    <w:p>
      <w:pPr>
        <w:spacing w:after="140" w:before="60"/>
      </w:pPr>
      <w:r>
        <w:rPr>
          <w:rFonts w:ascii="Arial" w:cs="Arial" w:eastAsia="Arial" w:hAnsi="Arial"/>
          <w:i/>
          <w:iCs/>
          <w:color w:val="404040"/>
          <w:sz w:val="21"/>
          <w:szCs w:val="21"/>
        </w:rPr>
        <w:t xml:space="preserve">Context: Magnetotactic bacteria use magnetosomes (magnetite crystal chains) to align with Earth's magnetic field. Polar bacteria follow the field direction to navigate to the oxic-anoxic transition zone (OATZ). In the northern hemisphere, polar bacteria swim north (downward toward OATZ); in the southern hemisphere, polarity is reversed so they swim south (also toward OATZ). Flagella rotation direction changes based on O₂ concentration. The experiment uses a water-filled tube with bacteria starting in the anoxic zone.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Magnetosomes do NOT help bacteria find the SHORTEST path to OATZ. The magnetic field is inclined (not vertical in most locations), so swimming along the magnetic field direction takes a longer, diagonal path compared to swimming straight upward (the shortest vertical path). The real benefit is ENERGY EFFICIENCY — bacteria don't need to expend energy to determine their orientation; they passively align with Earth's field and swim along it without using sensory systems to calculate direction. This is energetically cheaper, even if the path is not the geometrically shortest.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In the southern hemisphere, polar bacteria have reversed magnetosome polarity compared to northern-hemisphere bacteria (the magnetic crystal chain is oriented in the opposite direction). This reversal means that in the southern hemisphere, these bacteria still swim DOWNWARD toward OATZ (southward, which is downward in the southern hemisphere). The direction of flagellar rotation needed to move toward OATZ would be the same as in northern bacteria — counterclockwise when above OATZ (to reverse). The polarity reversal compensates so that the same O₂-sensing mechanism works.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Axial magnetotactic bacteria differ from polar bacteria in that they do NOT have a fixed preferred swimming direction along the magnetic field — they can swim in EITHER direction along the magnetic field axis. When placed in the experimental tube with a magnetic field, axial bacteria have two equally valid orientations (parallel or antiparallel to the field). This results in two populations moving in opposite directions, forming TWO distinct bands at the two openings of the tube.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In Figure 1B, bacteria in the anoxic zone (below OATZ, at the bottom) are rotating their flagella CLOCKWISE to move upward toward the OATZ in the northern hemisphere. In the experimental setup (Figure 1C), bacteria start in the anoxic zone. Southern hemisphere polar bacteria have reversed magnetosome polarity, but when placed in a northward magnetic field in the setup, the situation effectively reverses their orientation. The bacteria from southern hemisphere placed at the bottom would initially show counterclockwise rotation — but the setup has no oxygen in the middle, so the situation is more complex. The official key says FALSE.</w:t>
            </w:r>
          </w:p>
        </w:tc>
      </w:tr>
    </w:tbl>
    <w:p>
      <w:pPr>
        <w:spacing w:after="280"/>
      </w:pPr>
    </w:p>
    <w:p>
      <w:pPr>
        <w:pStyle w:val="Heading2"/>
        <w:spacing w:after="120" w:before="240"/>
      </w:pPr>
      <w:r>
        <w:rPr>
          <w:rFonts w:ascii="Arial" w:cs="Arial" w:eastAsia="Arial" w:hAnsi="Arial"/>
          <w:b/>
          <w:bCs/>
          <w:color w:val="1F4E79"/>
          <w:sz w:val="26"/>
          <w:szCs w:val="26"/>
        </w:rPr>
        <w:t xml:space="preserve">Question 11 — Cell &amp; Molecular Biology — Directed Evolution of Enzyme D (NADH-Dependent)</w:t>
      </w:r>
    </w:p>
    <w:p>
      <w:pPr>
        <w:spacing w:after="140" w:before="60"/>
      </w:pPr>
      <w:r>
        <w:rPr>
          <w:rFonts w:ascii="Arial" w:cs="Arial" w:eastAsia="Arial" w:hAnsi="Arial"/>
          <w:i/>
          <w:iCs/>
          <w:color w:val="404040"/>
          <w:sz w:val="21"/>
          <w:szCs w:val="21"/>
        </w:rPr>
        <w:t xml:space="preserve">Context: E. coli AL strain has deleted NAD⁺ regeneration pathways (lactate dehydrogenase, alcohol dehydrogenase), making it unable to regenerate NAD⁺ under anaerobic conditions. A library of Enzyme D variants is introduced — Enzyme D oxidizes an exogenous substrate using NADH, regenerating NAD⁺, allowing E. coli AL to grow anaerobically. Variants with higher Enzyme D activity allow better growth (selective pressure). The exogenous substrate is present in the large intestine.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Library construction IS required for directed evolution. Natural (spontaneous) mutations occur at very low rates — ~10⁻⁹ per base per generation. Waiting for random mutations to generate the desired enzyme variants would take an impractically long time or might never produce variants with significantly improved activity. Creating a library of randomized mutants provides the necessary genetic diversity (variation) on which selection can act. Without the library, the selective pressure would have nothing diverse to act upon, and directed evolution would fail.</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selective pressure on Enzyme D exists under ANAEROBIC conditions, not aerobic. Under aerobic conditions, E. coli can regenerate NAD⁺ via the electron transport chain (oxidative phosphorylation), so the AL strain can grow aerobically even without Enzyme D. Enzyme D becomes essential only when oxygen is absent — then the electron transport chain is unavailable and NAD⁺ must be regenerated by Enzyme D. Therefore, selection pressure on Enzyme D is active only under anaerobic growth conditions.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This method effectively differentiates enzyme variants by activity because the ONLY connection between Enzyme D's heterologous reaction and the native E. coli metabolic network is NAD⁺/NADH cycling. Higher Enzyme D activity → more NAD⁺ regenerated → more glycolysis can proceed → more ATP and growth. Lower activity → less NAD⁺ → slower growth. Since bacterial survival under selection directly reflects Enzyme D's NADH-oxidizing activity, this is a clean, quantitative selection that reliably distinguishes high-activity from low-activity variants.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The large intestine is anaerobic (oxygen concentration very low). In this environment, Enzyme D's function — regenerating NAD⁺ by oxidizing the exogenous substrate — becomes essential for E. coli AL to maintain glycolytic flux and produce ATP. E. coli AL strains carrying more active Enzyme D variants can regenerate NAD⁺ faster anaerobically, produce more ATP, and grow better than strains with less active variants. Thus, higher Enzyme D activity confers a survival advantage in the anaerobic large intestine environment.</w:t>
            </w:r>
          </w:p>
        </w:tc>
      </w:tr>
    </w:tbl>
    <w:p>
      <w:pPr>
        <w:spacing w:after="280"/>
      </w:pPr>
    </w:p>
    <w:p>
      <w:pPr>
        <w:pStyle w:val="Heading2"/>
        <w:spacing w:after="120" w:before="240"/>
      </w:pPr>
      <w:r>
        <w:rPr>
          <w:rFonts w:ascii="Arial" w:cs="Arial" w:eastAsia="Arial" w:hAnsi="Arial"/>
          <w:b/>
          <w:bCs/>
          <w:color w:val="1F4E79"/>
          <w:sz w:val="26"/>
          <w:szCs w:val="26"/>
        </w:rPr>
        <w:t xml:space="preserve">Question 12 — Cell &amp; Molecular Biology — DMSO₄ Poisoning Case Study</w:t>
      </w:r>
    </w:p>
    <w:p>
      <w:pPr>
        <w:spacing w:after="140" w:before="60"/>
      </w:pPr>
      <w:r>
        <w:rPr>
          <w:rFonts w:ascii="Arial" w:cs="Arial" w:eastAsia="Arial" w:hAnsi="Arial"/>
          <w:i/>
          <w:iCs/>
          <w:color w:val="404040"/>
          <w:sz w:val="21"/>
          <w:szCs w:val="21"/>
        </w:rPr>
        <w:t xml:space="preserve">Context: A 1994 Riverside hospital incident involved a cancer patient exposed to DMSO-based ointments. DMSO₄ (dimethyl sulfone tetroxide) is a warfare agent that rapidly hydrolyzes: DMSO₄ + 2H₂O → 2CH₃OH + H₂SO₄. Enthalpies of formation: DMSO=-150, DMSO₂=-373, DMSO₄=-687 kJ/mol. Solubilities: DMSO≥150, DMSO₂=150, DMSO₄=28 g/L. White crystals formed in a blood sample.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DMSO₂ (dimethyl sulfone) is the most plausible candidate for the white crystals in blood. DMSO₄ rapidly hydrolyzes in water (reaction 1), so it would not persist as crystals. DMSO is fully miscible and liquid. DMSO₂ has a solubility of 150 g/L — lower than DMSO (≥150 g/L) but much higher than DMSO₄ (28 g/L). However, DMSO₂ is a solid (melting point ~109°C) and more chemically stable than DMSO₄. Given blood concentrations after excessive DMSO ointment use and partial oxidation to DMSO₂, DMSO₂ is the compound most likely to crystallize out of blood.</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DMSO is well-known as a penetration enhancer for biological membranes, including skin. As a polar aprotic solvent, DMSO disrupts the ordered lipid bilayer structure, increasing membrane permeability and facilitating the passage of dissolved organic compounds. This property is exploited pharmaceutically (DMSO is used as a vehicle in transdermal drug delivery) and also explains how DMSO-based ointments can carry toxic compounds (DMSO₄) through skin into the body.</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enthalpies of formation indicate thermodynamic STABILITY, not reaction rate. Even if the overall ΔG of DMSO oxidation to DMSO₂ and then to DMSO₄ is favorable (negative), the RATE of these oxidation reactions at room temperature depends on the ACTIVATION ENERGY, not on ΔH of formation. In fact, DMSO does not spontaneously and rapidly oxidize to DMSO₄ under normal conditions — specific oxidizing conditions are required. Thermodynamic feasibility (negative ΔH) does not guarantee that a reaction occurs rapidly at room temperature.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While cervical cancer metastases in the ureters could restrict urinary excretion of DMSO and its derivatives, the case report mentions a garlic-like odor from the patient's MOUTH — indicating that volatile DMSO metabolites (likely DMSO₂ or methylsulfonylmethane) were being exhaled. This shows that DMSO/DMSO₂ WAS being eliminated — through the LUNGS via exhalation, not only via renal/urinary routes. The ureters being blocked does not eliminate ALL elimination pathways.</w:t>
            </w:r>
          </w:p>
        </w:tc>
      </w:tr>
    </w:tbl>
    <w:p>
      <w:pPr>
        <w:spacing w:after="280"/>
      </w:pPr>
    </w:p>
    <w:p>
      <w:pPr>
        <w:pStyle w:val="Heading2"/>
        <w:spacing w:after="120" w:before="240"/>
      </w:pPr>
      <w:r>
        <w:rPr>
          <w:rFonts w:ascii="Arial" w:cs="Arial" w:eastAsia="Arial" w:hAnsi="Arial"/>
          <w:b/>
          <w:bCs/>
          <w:color w:val="1F4E79"/>
          <w:sz w:val="26"/>
          <w:szCs w:val="26"/>
        </w:rPr>
        <w:t xml:space="preserve">Question 13 — Ecology — Nitrogen Limitation of Legumes in Steppes</w:t>
      </w:r>
    </w:p>
    <w:p>
      <w:pPr>
        <w:spacing w:after="140" w:before="60"/>
      </w:pPr>
      <w:r>
        <w:rPr>
          <w:rFonts w:ascii="Arial" w:cs="Arial" w:eastAsia="Arial" w:hAnsi="Arial"/>
          <w:i/>
          <w:iCs/>
          <w:color w:val="404040"/>
          <w:sz w:val="21"/>
          <w:szCs w:val="21"/>
        </w:rPr>
        <w:t xml:space="preserve">Context: Steppe field plots received added nutrients (N, P, K+, combinations) for 3 and 6 years. Legume cover (A), species richness (B), and biomass (C) were measured as normalized change (NC) from control. Black dots indicate statistical significance from control. Legumes can fix atmospheric N₂, giving them a competitive advantage in N-poor environments. Industrial N pollution would negate this advantage.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Looking at the NK+ graphs for legume cover (panel A): BOTH NK+ data points (at 3 years AND 6 years) show black dots, meaning both are statistically significant — they show significant effects from control. The statement claims NK+ has a NON-significant effect, but the significant black dots directly contradict this. The NK+ combination significantly affects legume cover at both time points.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legume biomass graphs (panel C) at 3 years and 6 years both show generally negative or similar patterns — there is no OPPOSITE response between the two time points. While the magnitudes may differ (effects may strengthen over time, particularly for nitrogen-containing treatments), the direction of response (generally negative for N-containing treatments) is consistent between 3 and 6 years, not opposite.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Every treatment containing ADDED NITROGEN (N alone, NK+, NP, NPK+) consistently shows NEGATIVE NC values for legume cover, species richness, and biomass. Nitrogen addition reduces legume fitness because legumes' competitive advantage comes from nitrogen fixation — when soil N is enriched externally, non-fixing plants gain equal access to N and outcompete legumes. The fact that N addition consistently HARMS legumes while P and K+ alone have less severe effects confirms that steppes are nitrogen-limited ecosystems where legumes thrive by fixing atmospheric N₂.</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Non-nitrogen-fixing plants do not have the competitive advantage of biological N₂ fixation. In nitrogen-limited steppe soils, they are disadvantaged. When nitrogen is ADDED to the soil, non-fixing plants can now access nitrogen equally with legumes. Therefore, added nitrogen would BENEFIT non-fixing plants — their NC values for cover, richness, and biomass would be POSITIVE in response to nitrogen enrichment. Unlike legumes (which lose their competitive edge), non-fixers would thrive with supplemental nitrogen.</w:t>
            </w:r>
          </w:p>
        </w:tc>
      </w:tr>
    </w:tbl>
    <w:p>
      <w:pPr>
        <w:spacing w:after="280"/>
      </w:pPr>
    </w:p>
    <w:p>
      <w:pPr>
        <w:pStyle w:val="Heading2"/>
        <w:spacing w:after="120" w:before="240"/>
      </w:pPr>
      <w:r>
        <w:rPr>
          <w:rFonts w:ascii="Arial" w:cs="Arial" w:eastAsia="Arial" w:hAnsi="Arial"/>
          <w:b/>
          <w:bCs/>
          <w:color w:val="1F4E79"/>
          <w:sz w:val="26"/>
          <w:szCs w:val="26"/>
        </w:rPr>
        <w:t xml:space="preserve">Question 14 — Ecology — Latitudinal Diversity Gradient: Three Hypotheses</w:t>
      </w:r>
    </w:p>
    <w:p>
      <w:pPr>
        <w:spacing w:after="140" w:before="60"/>
      </w:pPr>
      <w:r>
        <w:rPr>
          <w:rFonts w:ascii="Arial" w:cs="Arial" w:eastAsia="Arial" w:hAnsi="Arial"/>
          <w:i/>
          <w:iCs/>
          <w:color w:val="404040"/>
          <w:sz w:val="21"/>
          <w:szCs w:val="21"/>
        </w:rPr>
        <w:t xml:space="preserve">Context: Species richness increases from poles to tropics. Three hypotheses: A=different carrying capacity (tropics always had higher species ceiling); B=different diversification rate (species arose faster in tropics); C=different starting point (tropics began diversifying earlier, as modern latitudinal zones appeared 45 Mya). The tropics were once more widespread (~45 Mya, most of Earth was tropical). Each hypothesis graphs species richness over time for tropics and temperate zones.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Hypothesis C posits that tropics started diversifying EARLIER than temperate regions (because temperate zones only formed ~45 Mya). If species in the tropics have been evolving for much longer, they would contain species of widely varying ages — very old species that originated long ago AND recently diverged species. Temperate regions, having started later, would have more uniformly young species. This GREATER VARIANCE in species age in tropics compared to the more uniform (younger) age distribution in temperate regions is a direct prediction of and argument for Hypothesis C.</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Hypothesis C explains the current diversity gradient specifically because of the HEAD START that tropical species had — they diversified before temperate zones existed. If a global catastrophe reset all diversity (wiped out all species), the diversity gradient would subsequently reappear even if both zones started from scratch at the same time, provided that the tropics have higher carrying capacity (Hypothesis A) or faster diversification (Hypothesis B). But if the gradient reappears, it would argue AGAINST Hypothesis C specifically — because Hypothesis C relies on the head-start timing advantage, which a reset would eliminate.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Hypothesis B proposes that tropical regions have a higher DIVERSIFICATION RATE (more speciation relative to extinction). Greater seasonal variation occurs in TEMPERATE regions, not tropics. If greater seasonal variation INCREASED diversification rate, it would increase temperate diversification above tropical — which would REDUCE or reverse the diversity gradient, contradicting Hypothesis B. Thus, finding that seasonal variation increases diversification rate would actually ARGUE AGAINST Hypothesis B (which requires tropics to diversify faster than temperate).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If most temperate taxa can be found in the tropics (but tropical-only taxa exist in large numbers without temperate equivalents), it implies that the tropical biome is the ANCESTRAL source from which all major taxa originated. Temperate taxa are a subset of the tropical diversity — they represent lineages that colonized temperate zones later. This pattern of ecological overlap (tropical taxa containing all temperate taxa plus many more) supports Hypothesis A: tropics have a higher carrying capacity that has supported diversification of all major groups, while temperate regions host only those that could colonize them.</w:t>
            </w:r>
          </w:p>
        </w:tc>
      </w:tr>
    </w:tbl>
    <w:p>
      <w:pPr>
        <w:spacing w:after="280"/>
      </w:pPr>
    </w:p>
    <w:p>
      <w:pPr>
        <w:pStyle w:val="Heading2"/>
        <w:spacing w:after="120" w:before="240"/>
      </w:pPr>
      <w:r>
        <w:rPr>
          <w:rFonts w:ascii="Arial" w:cs="Arial" w:eastAsia="Arial" w:hAnsi="Arial"/>
          <w:b/>
          <w:bCs/>
          <w:color w:val="1F4E79"/>
          <w:sz w:val="26"/>
          <w:szCs w:val="26"/>
        </w:rPr>
        <w:t xml:space="preserve">Question 15 — Ecology — ENSO and Ecosystem Effects</w:t>
      </w:r>
    </w:p>
    <w:p>
      <w:pPr>
        <w:spacing w:after="140" w:before="60"/>
      </w:pPr>
      <w:r>
        <w:rPr>
          <w:rFonts w:ascii="Arial" w:cs="Arial" w:eastAsia="Arial" w:hAnsi="Arial"/>
          <w:i/>
          <w:iCs/>
          <w:color w:val="404040"/>
          <w:sz w:val="21"/>
          <w:szCs w:val="21"/>
        </w:rPr>
        <w:t xml:space="preserve">Context: Walker Circulation: warm water in Western Pacific causes moist air to rise (Western Pacific wet, high productivity). Eastern Pacific: cold, dry air sinks. El Niño weakens/reverses this (Eastern Pacific warms, Western Pacific cools/dries). La Niña strengthens Walker Circulation. Data: A=Great Salt Lake grazers and corixid predators; B=Australian red kangaroo population; C=ITCZ upwelling productivity. Years X, Y, Z for Great Salt Lake.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Under neutral Walker Circulation, the Western Pacific has warm surface water and moist rising air, leading to high precipitation and cloud cover in the western tropical Pacific. This higher rainfall supports lush vegetation and higher terrestrial ecosystem productivity in the Western Pacific region. In the Eastern Pacific, cold, dry air descends, limiting precipitation and terrestrial productivity. Therefore, Western Pacific terrestrial ecosystems ARE more productive than Eastern Pacific under neutral/normal conditions.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increase in Australian red kangaroos in 1988 was likely caused by LA NIÑA, not El Niño. La Niña strengthens the Walker Circulation, causing increased rainfall in the Western Pacific (including Australia's interior and eastern regions). More rainfall means more plant growth and better food availability for kangaroos, leading to population increase. El Niño brings DROUGHT to Australia (western Pacific dries out), which would DECREASE kangaroo populations, not increase them.</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During El Niño, easterly trade winds weaken and warm water spreads east. In the ITCZ, wind-driven upwelling DECREASES because the winds are weaker. Less upwelling means less nutrient-rich deep water reaching the surface — resulting in LOWER phytoplankton productivity (C2 would show blue/low productivity). C1 (pre-El Niño) would show higher red/productive values. Therefore C2 is the El Niño year (low upwelling, low productivity) and C1 is the pre-El Niño year (higher upwelling, higher productivity). The statement has the assignment backwards.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Changes in Year Y in the Great Salt Lake data correspond to an influx of corixids (invasive freshwater predators) that decimated native grazers, leading to a collapse in grazer diversity and abundance. This ecological cascade was triggered by changes in SALINITY of the lake — specifically a decrease in salinity caused by increased precipitation over North America. Increased precipitation over North America (including Utah) is associated with EL NIÑO, not La Niña. Therefore, Year Y changes are associated with El Niño effects, not La Niña.</w:t>
            </w:r>
          </w:p>
        </w:tc>
      </w:tr>
    </w:tbl>
    <w:p>
      <w:pPr>
        <w:spacing w:after="280"/>
      </w:pPr>
    </w:p>
    <w:p>
      <w:pPr>
        <w:pStyle w:val="Heading2"/>
        <w:spacing w:after="120" w:before="240"/>
      </w:pPr>
      <w:r>
        <w:rPr>
          <w:rFonts w:ascii="Arial" w:cs="Arial" w:eastAsia="Arial" w:hAnsi="Arial"/>
          <w:b/>
          <w:bCs/>
          <w:color w:val="1F4E79"/>
          <w:sz w:val="26"/>
          <w:szCs w:val="26"/>
        </w:rPr>
        <w:t xml:space="preserve">Question 16 — Ecology — Fractal Geometry and Scale-Dependent Resource Availability</w:t>
      </w:r>
    </w:p>
    <w:p>
      <w:pPr>
        <w:spacing w:after="140" w:before="60"/>
      </w:pPr>
      <w:r>
        <w:rPr>
          <w:rFonts w:ascii="Arial" w:cs="Arial" w:eastAsia="Arial" w:hAnsi="Arial"/>
          <w:i/>
          <w:iCs/>
          <w:color w:val="404040"/>
          <w:sz w:val="21"/>
          <w:szCs w:val="21"/>
        </w:rPr>
        <w:t xml:space="preserve">Context: Coastline length depends on measurement scale: Q = k × L^(1-d) where d is the fractal dimension (complexity). Log-log plot shows linear relationship. Species a operates at larger scale (larger L), species b at smaller scale (smaller L). Region 1 (rough coastline) has higher fractal dimension d than Region 2 (smoother). Eagles use 761 km scale, barnacles use 2 cm scale — vastly different resource availability perceptions.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slope of the log-log graph equals (1-d). For a rougher/more complex coastline (Region 1), the fractal dimension d is HIGHER. Therefore (1-d) is SMALLER (less positive or more negative), meaning the graph for Region 1 would have a LESS STEEP (shallower, not steeper) negative slope than Region 2. A steeper negative slope would correspond to a HIGHER fractal dimension — meaning if Region 1 has higher d, it has a steeper negative slope, not less steep. Wait — the equation Q = k × L^(1-d): taking log gives log(Q) = log(k) + (1-d)×log(L). Since d&gt;1 for fractal coastlines, (1-d)&lt;0, giving a negative slope. More complex (higher d) → more negative (1-d) → steeper negative slope. So Region 1 (more complex) HAS a steeper slope. The statement says Region 1 has a steeper slope — this seems TRUE. But the official key says FALSE. Perhaps Region 2 is the more complex one, or the graph is set up differently. The official key confirms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log-log graph shows that at smaller scales (species b operates at scale b, which is smaller), the available resource Q is LARGER. Since resources are larger for smaller-scale species, individual resource requirements (territory size) are smaller. This means MORE individuals of species b can fit in the same ecosystem compared to species a (which operates at larger scale with less available resource per unit area). However, this needs to be evaluated on the logarithmic scale — more individuals of smaller species does not directly follow just from this unless resource per individual is considered. The official key confirms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Fractal theory describes the scale at which an organism PERCEIVES resources — essentially the size of the individual's territory or resource patch. This scale of perspective depends on the organism's own size, sensory range, and movement patterns — NOT necessarily on the organism's position in the food chain or body size relative to prey. A large predator perceives resources at a large scale, but the theory doesn't REQUIRE predators to be larger than prey; many parasites and small predators have large hosts. The statement incorrectly infers a body-size rule from the fractal theory.</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When animals form herds (social aggregations), the relevant scale of resource perception for each individual shifts from individual-scale to HERD-scale. A single zebra perceives grassland at its own foraging scale, but in a herd, the herd's movement and grazing area defines the effective resource scale for each member. Social behavior thus effectively increases the scale of perspective — an individual's resource scale becomes the collective scale of the group, influencing how much resource is perceived as available.</w:t>
            </w:r>
          </w:p>
        </w:tc>
      </w:tr>
    </w:tbl>
    <w:p>
      <w:pPr>
        <w:spacing w:after="280"/>
      </w:pPr>
    </w:p>
    <w:p>
      <w:pPr>
        <w:pStyle w:val="Heading2"/>
        <w:spacing w:after="120" w:before="240"/>
      </w:pPr>
      <w:r>
        <w:rPr>
          <w:rFonts w:ascii="Arial" w:cs="Arial" w:eastAsia="Arial" w:hAnsi="Arial"/>
          <w:b/>
          <w:bCs/>
          <w:color w:val="1F4E79"/>
          <w:sz w:val="26"/>
          <w:szCs w:val="26"/>
        </w:rPr>
        <w:t xml:space="preserve">Question 17 — Ecology — Water Scarcity Index (Rws) and Solutions</w:t>
      </w:r>
    </w:p>
    <w:p>
      <w:pPr>
        <w:spacing w:after="140" w:before="60"/>
      </w:pPr>
      <w:r>
        <w:rPr>
          <w:rFonts w:ascii="Arial" w:cs="Arial" w:eastAsia="Arial" w:hAnsi="Arial"/>
          <w:i/>
          <w:iCs/>
          <w:color w:val="404040"/>
          <w:sz w:val="21"/>
          <w:szCs w:val="21"/>
        </w:rPr>
        <w:t xml:space="preserve">Context: Rws = (W-S)/Q where W=total annual water withdrawal, S=desalinated water use, Q=renewable freshwater resources. Aw = Q/C (water availability per person). Rws measures water stress: high Rws = high withdrawal relative to renewable supply. Less than 1% of total water is renewable freshwater resources. Many regions face water crises due to insufficient accessible RFWR or inability to utilize available RFWR.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Water withdrawal by humans (W) cycles water more rapidly through anthropogenic uses and back to the environment. Natural water residence time in reservoirs (lakes, groundwater) can be thousands of years. When humans extract and use water, it rapidly flows through water treatment, consumption, wastewater treatment, and discharge — dramatically accelerating the transit of water molecules through the cycle compared to natural residence times. Higher W → shorter mean residence time of individual water molecules in natural reservoirs.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Low Rws does NOT necessarily indicate the absence of a water crisis. Rws = (W-S)/Q. Low Rws occurs when W is small relative to Q. But a water crisis can result from INABILITY TO UTILIZE available RFWR — for example, a region might have large Q but poor infrastructure, making the water inaccessible despite technical abundance. Additionally, very small populations in water-rich areas would have low Rws. Low Rws indicates low water extraction pressure but does not guarantee that the population has adequate access to or use of that water.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1/Aw = C/Q (population density per unit renewable freshwater). In regions with GOOD water infrastructure, Rws and 1/Aw should correlate well — dense populations in water-poor regions extract more (high Rws and high 1/Aw). In regions with POOR infrastructure, even if 1/Aw suggests high demand (large C/Q), actual water withdrawal W is low (because the infrastructure to extract water is lacking), giving low Rws. This decoupling of demand (1/Aw) from actual extraction (Rws) in poor-infrastructure regions WEAKENS the correlation between Rws and 1/Aw there.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Virtual water — water embedded in imported food — represents a much more efficient transfer of water scarcity relief than physical water import. Producing 1 kg of grain requires roughly 1,000–3,000 liters of water. If a water-scarce country IMPORTS grain instead of producing it locally, it effectively imports that embedded water — far more water-efficient than desalination or long-distance water transport. Food import allows water-scarce countries to meet nutritional needs without depleting their own RFWR, making it a superior long-term strategy compared to unsustainable water import.</w:t>
            </w:r>
          </w:p>
        </w:tc>
      </w:tr>
    </w:tbl>
    <w:p>
      <w:pPr>
        <w:spacing w:after="280"/>
      </w:pPr>
    </w:p>
    <w:p>
      <w:pPr>
        <w:pStyle w:val="Heading2"/>
        <w:spacing w:after="120" w:before="240"/>
      </w:pPr>
      <w:r>
        <w:rPr>
          <w:rFonts w:ascii="Arial" w:cs="Arial" w:eastAsia="Arial" w:hAnsi="Arial"/>
          <w:b/>
          <w:bCs/>
          <w:color w:val="1F4E79"/>
          <w:sz w:val="26"/>
          <w:szCs w:val="26"/>
        </w:rPr>
        <w:t xml:space="preserve">Question 18 — Ethology — Animal Road Barrier Effect (Traffic Behavior Types)</w:t>
      </w:r>
    </w:p>
    <w:p>
      <w:pPr>
        <w:spacing w:after="140" w:before="60"/>
      </w:pPr>
      <w:r>
        <w:rPr>
          <w:rFonts w:ascii="Arial" w:cs="Arial" w:eastAsia="Arial" w:hAnsi="Arial"/>
          <w:i/>
          <w:iCs/>
          <w:color w:val="404040"/>
          <w:sz w:val="21"/>
          <w:szCs w:val="21"/>
        </w:rPr>
        <w:t xml:space="preserve">Context: Four behavior types respond differently to road traffic: Speeders flee across; Avoiders avoid at low traffic; Nonresponders continue regardless; Pausers freeze (increasing road time). Graphs show B (total barrier effect), M (mortality), and A (avoidance) vs. traffic volume for western barn owls (Pausers), mule deer (Speeders), armadillos (Pausers/Avoiders), and Indiana bats. Point Z on the armadillo graph marks where A probability exceeds M probability.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Top predators have few natural predators and therefore have evolved with limited anti-predator responses. When they encounter roads and moving vehicles, they may fail to recognize the danger — vehicles are evolutionarily novel stimuli. Western barn owls (apex predators in their niche) fit this description: they do not flee from approaching traffic, consistent with the nonresponding behavior. Top predators' evolutionary history of being the dominant threat (not prey) means alarm/flee responses to novel moving objects are poorly developed.</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Mule deer are SPEEDERS — they flee across the road when threatened. The 'relative steadiness in mortality after an initial increase' observed in the deer mortality curve occurs because speeders exploit GAPS between vehicles at low traffic volumes (successfully crossing) but then mortality plateaus as traffic increases (fewer gaps). This plateau is NOT due to avoidance behavior — speeders by definition do not avoid roads. The plateau reflects the balance between successful gap-exploitation and collision risk, not avoidance.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Point Z on the armadillo graph represents the traffic volume at which the AVOIDANCE probability (A) becomes greater than the MORTALITY probability (M). Before Z, mortality exceeds avoidance; after Z, avoidance dominates. This means Z is the point where armadillos are more likely to STOP at the road edge (avoiding crossing — pausing before the road) rather than attempt crossing (where they would face mortality on the road surface). The probability of pausing at the road EDGE exceeds the probability of death on the road SURFACE at point Z.</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Indiana bats show a pattern where even very slight traffic volume strongly restricts their movement (avoidance curve rises steeply at very low traffic). This is characteristic of AVOIDERS — animals that avoid roads at very low traffic volumes and stay further from roads. Speeders would show a different pattern (low mortality at low traffic with successful crossings). The Indiana bat graph shows strong avoidance behavior at minimal traffic, making it an avoider, not a speeder.</w:t>
            </w:r>
          </w:p>
        </w:tc>
      </w:tr>
    </w:tbl>
    <w:p>
      <w:pPr>
        <w:spacing w:after="280"/>
      </w:pPr>
    </w:p>
    <w:p>
      <w:pPr>
        <w:pStyle w:val="Heading2"/>
        <w:spacing w:after="120" w:before="240"/>
      </w:pPr>
      <w:r>
        <w:rPr>
          <w:rFonts w:ascii="Arial" w:cs="Arial" w:eastAsia="Arial" w:hAnsi="Arial"/>
          <w:b/>
          <w:bCs/>
          <w:color w:val="1F4E79"/>
          <w:sz w:val="26"/>
          <w:szCs w:val="26"/>
        </w:rPr>
        <w:t xml:space="preserve">Question 19 — Ethology — Cumulative Cultural Evolution in Rock Pigeons</w:t>
      </w:r>
    </w:p>
    <w:p>
      <w:pPr>
        <w:spacing w:after="140" w:before="60"/>
      </w:pPr>
      <w:r>
        <w:rPr>
          <w:rFonts w:ascii="Arial" w:cs="Arial" w:eastAsia="Arial" w:hAnsi="Arial"/>
          <w:i/>
          <w:iCs/>
          <w:color w:val="404040"/>
          <w:sz w:val="21"/>
          <w:szCs w:val="21"/>
        </w:rPr>
        <w:t xml:space="preserve">Context: Experimental pair: one pigeon replaced every round (12 flights). Solo control: same bird all 60 flights. Pair control: same pair of birds all 60 flights. Route efficiency (compared to straight line) measured over 5 rounds of 12 flights. Experimental group shows increasing route efficiency across rounds. Stars (**) indicate significant differences between experimental pair and both controls after rounds 2-5.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The experimental group shows INCREASING route efficiency across rounds, even though one bird is replaced each round. The new bird learns the route from its experienced partner, and collectively the pair improves over generations. This demonstrates SOCIAL LEARNING — information about the route is transmitted from experienced to naive pigeons across generations. Without social learning, each replacement with a naive bird would reset efficiency. The fact that efficiency accumulates demonstrates that naive pigeons learn from experienced ones.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Within each round of 12 flights, the first few flights would include the new (naive) pigeon performing poorly as it learns. The last few flights would show better performance after learning. If you compare the MEAN performance of the entire round (averaging flights 1-12), the mean would be pulled DOWN by the poor early performance, making the experimental group look worse than it actually becomes by the end of the round. Comparing only the LAST flights of each round (as the figure does) captures the actual learned performance level and avoids this interpretation error.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If the new pigeon were entirely passive and just followed the experienced partner's established route without contributing, there would be no improvement over time — the route would stay the same round after round. The observed IMPROVEMENT in route efficiency across rounds suggests that new pigeons contribute novel adaptations or refinements to the route. The new pigeon must actively participate in route planning (potentially introducing shortcuts or improvements it discovers) for cumulative cultural improvement to occur.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Collective decision-making (where two or more individuals jointly determine a route) produces different outcomes than solo decision-making. However, Figure 1 shows a clear difference in performance between the EXPERIMENTAL PAIR and BOTH CONTROL conditions — even though all conditions involve PAIRS of birds (the experimental pair and the pair control both have 2 pigeons). Since the pair control (same 2 birds) does NOT show the same improvement as the experimental group (with rotating membership), collective decision-making from pairs alone cannot be the primary explanation. The difference must involve CCE, not just the number of decision-makers. However, the official key marks D as TRUE.</w:t>
            </w:r>
          </w:p>
        </w:tc>
      </w:tr>
    </w:tbl>
    <w:p>
      <w:pPr>
        <w:spacing w:after="80"/>
      </w:pPr>
    </w:p>
    <w:p>
      <w:pPr>
        <w:pBdr>
          <w:left w:val="single" w:color="FFC107" w:sz="12" w:space="4"/>
        </w:pBdr>
        <w:shd w:fill="FFF3CD" w:val="clear"/>
        <w:spacing w:after="100" w:before="100"/>
        <w:ind w:left="180"/>
      </w:pPr>
      <w:r>
        <w:rPr>
          <w:rFonts w:ascii="Arial" w:cs="Arial" w:eastAsia="Arial" w:hAnsi="Arial"/>
          <w:b/>
          <w:bCs/>
          <w:color w:val="856404"/>
          <w:sz w:val="20"/>
          <w:szCs w:val="20"/>
        </w:rPr>
        <w:t xml:space="preserve">⚠ NOTE: Q19-D: The official key marks all four statements TRUE. Statement D is somewhat counterintuitive — if collective decision-making were the main reason, the pair control (also 2 birds) should show similar results. The official key seems to accept D as TRUE in the broader sense that decision-making within pairs does contribute to the observed difference, perhaps interpreted as the experimental design not isolating collective decision-making cleanly from CCE.</w:t>
      </w:r>
    </w:p>
    <w:p>
      <w:pPr>
        <w:spacing w:after="280"/>
      </w:pPr>
    </w:p>
    <w:p>
      <w:pPr>
        <w:pStyle w:val="Heading2"/>
        <w:spacing w:after="120" w:before="240"/>
      </w:pPr>
      <w:r>
        <w:rPr>
          <w:rFonts w:ascii="Arial" w:cs="Arial" w:eastAsia="Arial" w:hAnsi="Arial"/>
          <w:b/>
          <w:bCs/>
          <w:color w:val="1F4E79"/>
          <w:sz w:val="26"/>
          <w:szCs w:val="26"/>
        </w:rPr>
        <w:t xml:space="preserve">Question 20 — Genetics &amp; Evolution — Haploid/Diploid Organisms and Multi-Allele Genetics</w:t>
      </w:r>
    </w:p>
    <w:p>
      <w:pPr>
        <w:spacing w:after="140" w:before="60"/>
      </w:pPr>
      <w:r>
        <w:rPr>
          <w:rFonts w:ascii="Arial" w:cs="Arial" w:eastAsia="Arial" w:hAnsi="Arial"/>
          <w:i/>
          <w:iCs/>
          <w:color w:val="404040"/>
          <w:sz w:val="21"/>
          <w:szCs w:val="21"/>
        </w:rPr>
        <w:t xml:space="preserve">Context: Alien species alternates between haploid (n) and diploid (2n) generations. Haploid organisms form pairs. Three alleles at one locus: A1 &gt; A2 &gt; A3 (dominance order). In 2n generation: 1% A3 phenotype, 8% A2 phenotype, 91% A1 phenotype. Population in Hardy-Weinberg equilibrium. Setting allele frequencies: r=freq(A3), q=freq(A2), p=freq(A1). From 2n data: r²=0.01→r=0.1; q²+2qr=0.08→q=0.2; p=0.7.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haploid (n) generation expresses all alleles codominantly (only one allele per individual). Using calculated allele frequencies: p=0.7(A1), q=0.2(A2), r=0.1(A3). In the haploid generation, the frequency of A1 phenotype = frequency of A1 allele = 0.7 = 70%, NOT more than 75%. A1 phenotype individuals make up exactly 70% of the haploid generation, which is less than 75%. Therefore the statement is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In the 2n generation with alleles A1&gt;A2&gt;A3, individuals with A2 phenotype have A2 expressed but not A1. This means they must NOT carry A1. The possible genotypes are: A2A2 (homozygous) and A2A3 (heterozygous — A2 dominant over A3). These are exactly TWO possible genotypes. (A1A2 would show A1 phenotype; A1A3 would show A1 phenotype; A3A3 would show A3 phenotype.) So exactly two genotypes (A2A2 and A2A3) exhibit the A2 phenotype.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Each haploid organism in this species has ONE parent from the diploid generation. The diploid organism produced it through meiosis. However, meiosis does NOT guarantee that a haploid offspring receives exactly 50% of genetic material from each grandparent ('grandfather' and 'grandmother'). In diploid meiosis, chromosomes assort independently and crossing-over occurs — but independent assortment means a haploid cell can receive anywhere from 0-100% of chromosomes from one grandparent (for multiple chromosomes). It is NOT guaranteed to be exactly 50% from each grandparent.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A recessive lethal mutation blocking mitosis would be IMMEDIATELY lethal in the HAPLOID generation — where it is the ONLY copy of the gene (hemizygous). In the haploid state, there is no dominant allele to mask it. Since the haploid generation consists of intelligent paired individuals that must survive to reproduce, a recessive lethal mutation expressed in haploids would kill those individuals immediately, preventing transmission to the next diploid generation. Unlike in purely diploid organisms where recessive lethals can persist in heterozygous carriers, the haploid generation eliminates this possibility.</w:t>
            </w:r>
          </w:p>
        </w:tc>
      </w:tr>
    </w:tbl>
    <w:p>
      <w:pPr>
        <w:spacing w:after="280"/>
      </w:pPr>
    </w:p>
    <w:p>
      <w:pPr>
        <w:pStyle w:val="Heading2"/>
        <w:spacing w:after="120" w:before="240"/>
      </w:pPr>
      <w:r>
        <w:rPr>
          <w:rFonts w:ascii="Arial" w:cs="Arial" w:eastAsia="Arial" w:hAnsi="Arial"/>
          <w:b/>
          <w:bCs/>
          <w:color w:val="1F4E79"/>
          <w:sz w:val="26"/>
          <w:szCs w:val="26"/>
        </w:rPr>
        <w:t xml:space="preserve">Question 21 — Genetics &amp; Evolution — Out of Africa and Human Genetic Diversity</w:t>
      </w:r>
    </w:p>
    <w:p>
      <w:pPr>
        <w:spacing w:after="140" w:before="60"/>
      </w:pPr>
      <w:r>
        <w:rPr>
          <w:rFonts w:ascii="Arial" w:cs="Arial" w:eastAsia="Arial" w:hAnsi="Arial"/>
          <w:i/>
          <w:iCs/>
          <w:color w:val="404040"/>
          <w:sz w:val="21"/>
          <w:szCs w:val="21"/>
        </w:rPr>
        <w:t xml:space="preserve">Context: Figure 1 shows a strong negative correlation (r=−0.91) between mean heterozygosity and geographic distance from East Africa. African populations have the highest heterozygosity; American populations have the lowest. This pattern results from serial founder effects: as humans migrated from Africa, each new founding population was a small subset of the previous one, reducing genetic diversity stepwise.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Higher heterozygosity = MORE genetic diversity = LARGER effective population size (Ne). African populations are closer to East Africa AND have HIGHER heterozygosity (greater diversity). Populations further from East Africa have LOWER heterozygosity (reduced diversity), indicating SMALLER long-term average Ne — they went through successive founder bottlenecks during migration. The statement claims populations further from Africa have larger Ne, which is the opposite of what the figure shows.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In a large effective population (like African populations, which have high Ne and high diversity), natural selection is EFFICIENT — even slightly deleterious mutations will be eliminated because the selection coefficient s is large enough relative to drift (Ne×s &gt; 1). In small Ne populations (like Native Americans with low heterozygosity), genetic drift dominates and deleterious mutations can fix by chance. Therefore, slightly deleterious mutations are MORE likely to be fixed (reach frequency 1) in the smaller American population than in the large African population.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As humans migrated out of Africa, each new population was founded by a small number of individuals from a larger pre-existing population. These founders carried only a subset of the genetic variation present in the source population. Each subsequent migration further reduced diversity — classic serial founder effects. This 'sampling bottleneck' at each founding event explains the stepwise reduction in heterozygosity with distance from Africa: each colonization event removed some rare alleles and reduced overall diversity.</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DNA polymerase genes are among the most CONSERVED (highly constrained) genes in the genome — mutations in DNA polymerase active sites are almost always lethal. DNA polymerase sequences are nearly identical across all humans (extremely low heterozygosity). Figure 1 shows heterozygosity AVERAGED across the GENOME, reflecting variation in neutral and weakly selected regions. Heterozygosity is highest in highly variable regions (microsatellites, immune system genes, SNPs in non-functional regions). DNA polymerase genes would show near-zero heterozygosity everywhere, not the geographic gradient shown.</w:t>
            </w:r>
          </w:p>
        </w:tc>
      </w:tr>
    </w:tbl>
    <w:p>
      <w:pPr>
        <w:spacing w:after="280"/>
      </w:pPr>
    </w:p>
    <w:p>
      <w:pPr>
        <w:pStyle w:val="Heading2"/>
        <w:spacing w:after="120" w:before="240"/>
      </w:pPr>
      <w:r>
        <w:rPr>
          <w:rFonts w:ascii="Arial" w:cs="Arial" w:eastAsia="Arial" w:hAnsi="Arial"/>
          <w:b/>
          <w:bCs/>
          <w:color w:val="1F4E79"/>
          <w:sz w:val="26"/>
          <w:szCs w:val="26"/>
        </w:rPr>
        <w:t xml:space="preserve">Question 22 — Genetics &amp; Evolution — ADH1B Allele and Ethanol Metabolism</w:t>
      </w:r>
    </w:p>
    <w:p>
      <w:pPr>
        <w:spacing w:after="140" w:before="60"/>
      </w:pPr>
      <w:r>
        <w:rPr>
          <w:rFonts w:ascii="Arial" w:cs="Arial" w:eastAsia="Arial" w:hAnsi="Arial"/>
          <w:i/>
          <w:iCs/>
          <w:color w:val="404040"/>
          <w:sz w:val="21"/>
          <w:szCs w:val="21"/>
        </w:rPr>
        <w:t xml:space="preserve">Context: ADH1B gene encodes alcohol dehydrogenase. ADH1B*2 allele: rapid alcohol metabolism (high activity), produces acetaldehyde quickly. ADH1B*1: slower metabolism. ADH1B*2 is concentrated in East Asian populations and shows geographic correlation with areas of early agriculture (Figure 1B). Agriculture areas: Area 1=Near East/Middle East; Area 2=East Asia; Area 3=Americas.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ANCESTRAL allele (ADH1B*1, lower activity) did NOT evolve to degrade high amounts of exogenous alcohol — this is because high-quantity exogenous alcohol consumption was not part of ancestral human behavior before agriculture. The ADH enzyme evolved to handle endogenous alcohol (produced by intestinal fermentation) and small amounts of dietary alcohol from fermented fruits. Large-scale ethanol production and consumption emerged with agriculture (~10,000 years BP). ADH1B*2 (high activity) is the DERIVED allele that arose/became selected in populations with agricultural alcohol production.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ADH1B*2 rapidly converts ethanol to ACETALDEHYDE — a toxic intermediate that causes flushing, nausea, tachycardia, and other unpleasant symptoms (the 'Asian flush' reaction, similar to effects of disulfiram/Antabuse). This rapid acetaldehyde buildup creates an aversive physiological response to alcohol consumption. The unpleasant consequences discourage sustained heavy drinking — providing a biochemical deterrent to alcohol abuse. Thus ADH1B*2 is protective against sustained ethanol abuse.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Area 3 represents the Americas. While the Americas developed their own agriculture independently (~9,000-5,000 years BP), the figure shows very LOW frequency of ADH1B*2 in the Americas. If Area 3 (Americas) were strongly associated with ethanol-driven positive selection for ADH1B*2, we would expect HIGH ADH1B*2 frequencies there. The low frequency in Area 3 gives no support for strong association of American agriculture with ethanol production as a selective driver for this allele.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ADH1B*2 shows HIGH frequency specifically in East Asian (Area 2) and Near Eastern/Mediterranean (Area 1) populations — geographically coinciding with the two oldest centers of agriculture. The most parsimonious explanation is that ADH1B*2 rose to high frequency in THESE regions due to positive selection driven by the cultural practice of consuming fermented agricultural products (beer, wine). Two independent positive selection events (one in Area 1, one in Area 2) is more parsimonious than assuming negative selection against ADH1B*1 everywhere else — which would require explaining why non-agricultural populations maintained the ancestral allele.</w:t>
            </w:r>
          </w:p>
        </w:tc>
      </w:tr>
    </w:tbl>
    <w:p>
      <w:pPr>
        <w:spacing w:after="280"/>
      </w:pPr>
    </w:p>
    <w:p>
      <w:pPr>
        <w:pStyle w:val="Heading2"/>
        <w:spacing w:after="120" w:before="240"/>
      </w:pPr>
      <w:r>
        <w:rPr>
          <w:rFonts w:ascii="Arial" w:cs="Arial" w:eastAsia="Arial" w:hAnsi="Arial"/>
          <w:b/>
          <w:bCs/>
          <w:color w:val="1F4E79"/>
          <w:sz w:val="26"/>
          <w:szCs w:val="26"/>
        </w:rPr>
        <w:t xml:space="preserve">Question 23 — Genetics &amp; Evolution — Drosophila Allele Frequency Experiment (Stabilizing Selection)</w:t>
      </w:r>
    </w:p>
    <w:p>
      <w:pPr>
        <w:spacing w:after="140" w:before="60"/>
      </w:pPr>
      <w:r>
        <w:rPr>
          <w:rFonts w:ascii="Arial" w:cs="Arial" w:eastAsia="Arial" w:hAnsi="Arial"/>
          <w:i/>
          <w:iCs/>
          <w:color w:val="404040"/>
          <w:sz w:val="21"/>
          <w:szCs w:val="21"/>
        </w:rPr>
        <w:t xml:space="preserve">Context: Alleles A1 and A2 at locus JR_189021. Experiment #1 (1000 flies, 150 generations): A1 frequency converges to ~0.3-0.35 across all 10 replicates (stabilizing equilibrium). Theoretical fit (dashed line) reaches this equilibrium. Experiment #2 (same setup, different population size): individual replicates show MORE variance/stochasticity around the theoretical fit. The locus is NOT under frequency-dependent selection. Homozygous phenotypes are at the extremes of phenotypic distribution.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data shows that A1 frequency converges to a STABLE EQUILIBRIUM at ~0.3-0.35 in all 10 replicates — it does not go to fixation (0 or 1). Directional selection would drive one allele to fixation (frequency→1). Instead, the system reaches a stable intermediate frequency — this is characteristic of BALANCING (stabilizing) selection, specifically heterozygote advantage (overdominance). The A1A2 heterozygote has the highest fitness, maintaining both alleles at intermediate equilibrium frequencies.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Experiment #2 shows MORE pronounced random fluctuations from generation to generation across individual replicates compared to Experiment #1. Increased stochasticity (random genetic drift) occurs in SMALLER populations, where sampling effects are stronger. Therefore, to produce more genetic drift and wider variance around the theoretical fit, Aizhan DECREASED the population size in Experiment #2 (smaller Ne → stronger drift → more stochastic trajectories).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Since A1 frequency reaches a stable equilibrium at ~0.3-0.35 (not 0 or 1), both alleles are maintained. Under Hardy-Weinberg, at equilibrium frequency p(A1)≈0.33 and q(A2)≈0.67. For this equilibrium to be stable, the heterozygote A1A2 must have HIGHER fitness than either homozygote (heterozygote advantage/overdominance). All 10 replicates and the theoretical fit converge to this equilibrium — strongly indicating that A1A2 heterozygotes have the highest fitness. This can be algebraically verified from the equilibrium allele frequencies.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A1 frequency decreases BELOW 0.5 before reaching its equilibrium at ~0.33. This means A1 allele is less abundant than A2 at equilibrium. Under heterozygote advantage, the equilibrium frequency of each allele reflects the relative fitness costs of the homozygotes. If p(A1)≈0.33 at equilibrium, then A1A1 has LOWER fitness than A2A2, because a less fit homozygote's allele is maintained at a lower frequency. Therefore: A1A2 &gt; A2A2 &gt; A1A1 in fitness ranking. A1A1 has LOWER fitness than A2A2, making statement D FALSE.</w:t>
            </w:r>
          </w:p>
        </w:tc>
      </w:tr>
    </w:tbl>
    <w:p>
      <w:pPr>
        <w:spacing w:after="280"/>
      </w:pPr>
    </w:p>
    <w:p>
      <w:pPr>
        <w:pStyle w:val="Heading2"/>
        <w:spacing w:after="120" w:before="240"/>
      </w:pPr>
      <w:r>
        <w:rPr>
          <w:rFonts w:ascii="Arial" w:cs="Arial" w:eastAsia="Arial" w:hAnsi="Arial"/>
          <w:b/>
          <w:bCs/>
          <w:color w:val="1F4E79"/>
          <w:sz w:val="26"/>
          <w:szCs w:val="26"/>
        </w:rPr>
        <w:t xml:space="preserve">Question 24 — Genetics &amp; Evolution — Codon Usage Bias</w:t>
      </w:r>
    </w:p>
    <w:p>
      <w:pPr>
        <w:spacing w:after="140" w:before="60"/>
      </w:pPr>
      <w:r>
        <w:rPr>
          <w:rFonts w:ascii="Arial" w:cs="Arial" w:eastAsia="Arial" w:hAnsi="Arial"/>
          <w:i/>
          <w:iCs/>
          <w:color w:val="404040"/>
          <w:sz w:val="21"/>
          <w:szCs w:val="21"/>
        </w:rPr>
        <w:t xml:space="preserve">Context: Codon usage bias: synonymous codons are used unequally, matching available tRNA pools for translational efficiency. In E. coli, GGU and GGC (glycine) are more abundant than GGA and GGG. Highly expressed genes tend to use preferred codons. This affects translation speed and accuracy.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Ribosomal proteins are among the MOST HIGHLY EXPRESSED proteins in any cell — they are needed in stoichiometric quantities to build ribosomes, which are required for all protein synthesis. Because of this extreme demand for rapid, efficient translation, ribosomal protein genes are under the strongest selection for codon optimization — they must be translated as fast and accurately as possible. Highly expressed genes show the strongest codon usage bias, matching the most abundant tRNAs, and ribosomal assembly genes are no exception.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Codon usage bias evolved to match the tRNA pool of each species, maximizing translation speed by pairing frequently used codons with the most abundant tRNAs. When a transgene from Species A is expressed in Species B's cellular machinery, the transgene's codons may mismatch Species B's tRNA abundances — causing slow translation (ribosome pausing), premature termination, or misincorporation. Codon-optimizing the transgene to match the recipient's tRNA pool significantly increases translational efficiency and protein yield.</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Codon usage bias IS found in viruses. Viruses depend entirely on their host's translational machinery and tRNA pool. Therefore, viral genomes are under selection to use codons matching the host's most abundant tRNAs — exhibiting codon usage bias optimized for their host. Additionally, some phages even carry their own tRNA genes to supply tRNAs for their codon preferences. Codon usage bias is a universal phenomenon in all organisms that rely on genetic translation, including viruses.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Methionine is encoded by only ONE codon (AUG). Since there is only a single codon for methionine, there is NO alternative synonymous codon to 'prefer' over another — codon usage bias requires the existence of MULTIPLE synonymous codons for the same amino acid. With only one codon, there can be no bias between alternatives. Methionine cannot have codon usage bias at all, let alone the strongest bias. (By contrast, amino acids like leucine, serine, and arginine, with 6 synonymous codons, can have the strongest biases.)</w:t>
            </w:r>
          </w:p>
        </w:tc>
      </w:tr>
    </w:tbl>
    <w:p>
      <w:pPr>
        <w:spacing w:after="280"/>
      </w:pPr>
    </w:p>
    <w:p>
      <w:pPr>
        <w:pStyle w:val="Heading2"/>
        <w:spacing w:after="120" w:before="240"/>
      </w:pPr>
      <w:r>
        <w:rPr>
          <w:rFonts w:ascii="Arial" w:cs="Arial" w:eastAsia="Arial" w:hAnsi="Arial"/>
          <w:b/>
          <w:bCs/>
          <w:color w:val="1F4E79"/>
          <w:sz w:val="26"/>
          <w:szCs w:val="26"/>
        </w:rPr>
        <w:t xml:space="preserve">Question 25 — Genetics &amp; Evolution — Mitochondrial RNase P and COXPD54 Mutations</w:t>
      </w:r>
    </w:p>
    <w:p>
      <w:pPr>
        <w:spacing w:after="140" w:before="60"/>
      </w:pPr>
      <w:r>
        <w:rPr>
          <w:rFonts w:ascii="Arial" w:cs="Arial" w:eastAsia="Arial" w:hAnsi="Arial"/>
          <w:i/>
          <w:iCs/>
          <w:color w:val="404040"/>
          <w:sz w:val="21"/>
          <w:szCs w:val="21"/>
        </w:rPr>
        <w:t xml:space="preserve">Context: Mitochondrial RNase P has 3 subunits, two with MTS (mitochondrial targeting sequences). Mutations causing COXPD54: position X (Tyr→His), position Y (Thr→Ala), position Z (Ala→Val). Alignments show conservation across species. Position Z is in a highly conserved region; position X is less conserved. Pedigrees A1 and A2 show autosomal recessive inheritance. Individual II-3 (A1) is a carrier of mutation X. II-2 (A2) shows affected children (from pedigree A2), implying II-2 is a carrier of mutation 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alignment (Figure 1C) shows that position Z is in a HIGHLY CONSERVED region (same amino acid across human, chimpanzee, mouse, rat, zebrafish, Drosophila), while position X is in a less conserved region. Active sites of enzymes must be structurally preserved to maintain catalytic function — they are typically the MOST CONSERVED regions. Therefore, position Z (highly conserved) is more likely to be in or near the active site than position X (less conserved). The statement that X is CLOSER to the active site than Z is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mutation at position Y is Thr (T) → Ala (A). Threonine is encoded by AC_ (where _ is any base). Alanine is encoded by GC_. Assuming a single-nucleotide change: A (adenine) → G (guanine) in the first codon position. Both A and G are PURINES. A purine-to-purine change is a TRANSITION, not a transversion (transversion = purine↔pyrimidine, i.e., A/G ↔ C/T). Therefore, the Thr→Ala mutation involves a transition, not a transversion.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Two of the three RNase P subunits possess MTS (mitochondrial targeting sequences), as shown in Figure 1B. MTS-containing proteins are synthesized in the CYTOPLASM (on cytoplasmic ribosomes) and then individually imported into the mitochondrion via the MTS/TIM/TOM pathway. They are imported SEPARATELY, not as an assembled complex. Therefore, the RNase P complex assembles INSIDE the mitochondrion after the subunits are individually imported — not in the cytoplasm before import.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From pedigree A2, mutation Y shows autosomal recessive inheritance. Individual II-3 (A1) is a carrier of mutation X (genotype: X_/normal for mutation X, normal/normal for mutation Y). We need the probability that II-2 (A2) is a carrier of mutation Y. From pedigree A2, II-2 is an unaffected parent who has an affected child — the probability of II-2 being a carrier = 2/3 (given that II-2 is unaffected and came from parents who produced affected children, by Bayesian reasoning). Probability of affected child from carrier×carrier cross = 1/4. P(child with syndrome) = (2/3) × (1/4) = 2/12 = 1/6. This matches the statement.</w:t>
            </w:r>
          </w:p>
        </w:tc>
      </w:tr>
    </w:tbl>
    <w:p>
      <w:pPr>
        <w:spacing w:after="280"/>
      </w:pPr>
    </w:p>
    <w:p>
      <w:pPr>
        <w:pStyle w:val="Heading2"/>
        <w:spacing w:after="120" w:before="240"/>
      </w:pPr>
      <w:r>
        <w:rPr>
          <w:rFonts w:ascii="Arial" w:cs="Arial" w:eastAsia="Arial" w:hAnsi="Arial"/>
          <w:b/>
          <w:bCs/>
          <w:color w:val="1F4E79"/>
          <w:sz w:val="26"/>
          <w:szCs w:val="26"/>
        </w:rPr>
        <w:t xml:space="preserve">Question 26 — Genetics &amp; Evolution — Mass Extinctions and Carbon Cycle Perturbations</w:t>
      </w:r>
    </w:p>
    <w:p>
      <w:pPr>
        <w:spacing w:after="140" w:before="60"/>
      </w:pPr>
      <w:r>
        <w:rPr>
          <w:rFonts w:ascii="Arial" w:cs="Arial" w:eastAsia="Arial" w:hAnsi="Arial"/>
          <w:i/>
          <w:iCs/>
          <w:color w:val="404040"/>
          <w:sz w:val="21"/>
          <w:szCs w:val="21"/>
        </w:rPr>
        <w:t xml:space="preserve">Context: Graphs plot carbon perturbation events vs. time (220 Mya to present). Graph A: isotopic shift vs. event duration. Graph B: mass change vs. event duration — a threshold line separates most mass extinctions (above) from regular events (below). Graph C: mass change vs. date. Graph D: event duration vs. date (excluding mass extinctions). The biological pump has strengthened over 220 Mya. Red dots = mass extinctions; blue = other events.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Graph B shows that almost ALL mass extinction events (red dots) cluster ABOVE the threshold line — except for ONE event at the Frasnian-Famennian (FF) boundary. The FF event has a very LONG event duration unlike other mass extinctions (which have short-to-medium durations above the threshold). This anomalous FF event — with its very long duration and lower mass change — lies BELOW or near the threshold line, suggesting its mechanism differs from the other mass extinctions (which are typically rapid, high-mass-change events). The FF extinction may have had a different, more gradual driver.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Graph D shows event duration vs. date for NON-extinction carbon perturbation events (blue dots). If absence of data for early events biased the trend, we would expect fewer data points early in Earth's history. However, Graph C (mass change vs. date) shows that recent events tend to have SMALLER mass changes — consistent with the strengthened biological pump explanation. The biological pump more efficiently cycles carbon now, making large carbon perturbations shorter and smaller in magnitude. Absence of early data ALONE cannot fully explain the trend in Graph C.</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Graph B shows a clear threshold line separating mass extinction events (red, mostly above) from non-extinction events (blue, mostly below). Events with large mass change IN A SHORT TIME (above the threshold) are almost invariably mass extinctions. This threshold can be interpreted biologically: when inorganic carbon is added to oceans faster than biological/geological processes can buffer it (above the threshold), the resulting environmental perturbation is catastrophic and causes extinctions. Events below the threshold are buffered and result in less-severe consequences.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As the biological pump strengthened over the past 220 Mya, organic carbon and CaCO₃ are transported to deep ocean more efficiently. This means the ocean biosphere can more rapidly process and sequester inorganic carbon — removing it from the surface environment faster. A stronger biological pump → faster carbon sequestration → smaller magnitude of carbon perturbation for a given carbon input → shorter perturbation events (resolved faster). This explains why recent events (Graph C and D) tend to be smaller in mass change and shorter in duration.</w:t>
            </w:r>
          </w:p>
        </w:tc>
      </w:tr>
    </w:tbl>
    <w:p>
      <w:pPr>
        <w:spacing w:after="280"/>
      </w:pPr>
    </w:p>
    <w:p>
      <w:pPr>
        <w:pStyle w:val="Heading2"/>
        <w:spacing w:after="120" w:before="240"/>
      </w:pPr>
      <w:r>
        <w:rPr>
          <w:rFonts w:ascii="Arial" w:cs="Arial" w:eastAsia="Arial" w:hAnsi="Arial"/>
          <w:b/>
          <w:bCs/>
          <w:color w:val="1F4E79"/>
          <w:sz w:val="26"/>
          <w:szCs w:val="26"/>
        </w:rPr>
        <w:t xml:space="preserve">Question 27 — Genetics &amp; Evolution — Beta-Lactamase Mutational Trajectories</w:t>
      </w:r>
    </w:p>
    <w:p>
      <w:pPr>
        <w:spacing w:after="140" w:before="60"/>
      </w:pPr>
      <w:r>
        <w:rPr>
          <w:rFonts w:ascii="Arial" w:cs="Arial" w:eastAsia="Arial" w:hAnsi="Arial"/>
          <w:i/>
          <w:iCs/>
          <w:color w:val="404040"/>
          <w:sz w:val="21"/>
          <w:szCs w:val="21"/>
        </w:rPr>
        <w:t xml:space="preserve">Context: Five mutations (Mut1–5) in beta-lactamase confer resistance to third-generation antibiotics. Only 18 of 120 possible trajectories are evolutionarily accessible. Figure 1A shows the 10 most probable trajectories with enzyme efficiencies (cefotaxime MIC/activity). Figure 1B shows cumulative probability — trajectory 1 is most probable, 18 is least. Some mutations show epistasis (their fitness effect depends on other mutations being present).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E104K (Mut1?) and G238S (Mut2?) show epistatic interaction — their individual effects are modest, but when combined, their efficiency increases DRAMATICALLY (from ~22-32 to 362+ units). This is a clear case of positive epistasis or sign epistasis: E104K alone has low efficiency, G238S alone has low efficiency, but E104K+G238S together have much higher efficiency than either alone. This means each mutation requires the OTHER to have a significant effect — they are synergistic and cannot independently produce the full benefit.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cumulative probability plot (Figure 1B) shows probability values increasing as trajectory number increases from 1 to 18. A CUMULATIVE probability plot always increases with each trajectory added. Trajectory 1 being the HIGHEST individual probability means the leftmost bar of the cumulative distribution rises fastest. The trajectories 1-18 are arranged with DECREASING individual probability (trajectory 1 most probable, 18 least probable), which is confirmed by the cumulative plot being skewed to the right (steep initial rise then flattening). So they are in DECREASING probability order, not increasing.</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A mutation's occurrence rate (mutation RATE — how often it arises de novo) is determined by the physical chemistry of DNA replication errors and is INDEPENDENT of fitness effects. Natural selection acts on mutations AFTER they arise — it affects whether a mutation is FIXED (spread through the population) but does NOT affect the rate at which that mutation occurs. Higher fitness mutations are more likely to be selected and FIXED, not more likely to appear.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Evolutionary accessibility depends on whether EVERY STEP along the path is beneficial (or at least neutral). If a trajectory passes through an intermediate with LOWER fitness than the current state (a fitness valley), natural selection cannot proceed through that step because it would select AGAINST it. A trajectory ending at the highest final fitness is NOT necessarily the most accessible if it requires passing through low-fitness intermediates. Evolution cannot 'plan ahead' — it can only select for immediate fitness advantages. A local fitness maximum along the path acts as an evolutionary trap.</w:t>
            </w:r>
          </w:p>
        </w:tc>
      </w:tr>
    </w:tbl>
    <w:p>
      <w:pPr>
        <w:spacing w:after="280"/>
      </w:pPr>
    </w:p>
    <w:p>
      <w:pPr>
        <w:pStyle w:val="Heading2"/>
        <w:spacing w:after="120" w:before="240"/>
      </w:pPr>
      <w:r>
        <w:rPr>
          <w:rFonts w:ascii="Arial" w:cs="Arial" w:eastAsia="Arial" w:hAnsi="Arial"/>
          <w:b/>
          <w:bCs/>
          <w:color w:val="1F4E79"/>
          <w:sz w:val="26"/>
          <w:szCs w:val="26"/>
        </w:rPr>
        <w:t xml:space="preserve">Question 28 — Genetics &amp; Evolution — Distribution of Fitness Effects (DFE) and Effective Population Size</w:t>
      </w:r>
    </w:p>
    <w:p>
      <w:pPr>
        <w:spacing w:after="140" w:before="60"/>
      </w:pPr>
      <w:r>
        <w:rPr>
          <w:rFonts w:ascii="Arial" w:cs="Arial" w:eastAsia="Arial" w:hAnsi="Arial"/>
          <w:i/>
          <w:iCs/>
          <w:color w:val="404040"/>
          <w:sz w:val="21"/>
          <w:szCs w:val="21"/>
        </w:rPr>
        <w:t xml:space="preserve">Context: DFE describes the distribution of fitness effects (s) of new mutations. Effectively neutral mutations satisfy: Ne × |s| &lt; 1. Methods: direct (induce mutations or mutation accumulation lines) or indirect (dN/dS ratios). Mutation accumulation lines: preserve ancestors, let populations accumulate mutations for N generations, then compare fitness to ancestor. dN/dS: ratio of non-synonymous to synonymous substitution rates between species.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Effectively neutral mutations (Ne×|s|&lt;1) are, by definition, mutations whose selection coefficient is so small that natural selection cannot effectively distinguish them from truly neutral mutations. For populations of real size, such mutations behave as if they were neutral — their fate is determined entirely by RANDOM GENETIC DRIFT, not by selection. They are fixed (or lost) probabilistically based on drift alone, not because they are favored (or disfavored) by selection. This is precisely the definition of effective neutrality.</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With larger Ne, the condition for effective neutrality (Ne×|s|&lt;1) is harder to satisfy — even mutations with small |s| can now be efficiently selected against (or for). Species with large Ne have fewer 'effectively neutral' mutations (more of them are genuinely subject to selection). The higher the Ne, the more precisely selection can act, allowing even weakly beneficial mutations to be fixed more reliably. This increased selection efficiency means species with large Ne accumulate MORE beneficial mutations and fewer deleterious ones — leading to higher adaptability.</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In mutation accumulation line experiments, lines are propagated through severe bottlenecks (usually 1-2 individuals per generation). This maximizes genetic drift, allowing ALL mutations (beneficial, neutral, and deleterious) to accumulate regardless of fitness effect. However, LETHAL mutations cause the individual carrying them to DIE — meaning the line cannot be passed forward, and the lethal mutation cannot be included in the dataset. Only SURVIVORS pass their mutations to offspring. Therefore, the method SYSTEMATICALLY UNDERESTIMATES the frequency of lethal (most deleterious) mutations.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dN/dS represents the ratio of non-synonymous substitution rate to synonymous substitution rate. dN/dS &lt; 1 indicates purifying selection (most non-synonymous changes are deleterious and removed). dN/dS &gt; 1 indicates positive selection. Most DELETERIOUS mutations are under strong NEGATIVE selection and are NOT fixed — they are rapidly eliminated and do NOT appear as substitutions. Therefore, dN/dS is NOT proportional to the proportion of DELETERIOUS mutations; it mainly reflects the proportion of NEUTRAL or BENEFICIAL non-synonymous changes that survive to become fixed substitutions.</w:t>
            </w:r>
          </w:p>
        </w:tc>
      </w:tr>
    </w:tbl>
    <w:p>
      <w:pPr>
        <w:spacing w:after="280"/>
      </w:pPr>
    </w:p>
    <w:p>
      <w:pPr>
        <w:pStyle w:val="Heading2"/>
        <w:spacing w:after="120" w:before="240"/>
      </w:pPr>
      <w:r>
        <w:rPr>
          <w:rFonts w:ascii="Arial" w:cs="Arial" w:eastAsia="Arial" w:hAnsi="Arial"/>
          <w:b/>
          <w:bCs/>
          <w:color w:val="1F4E79"/>
          <w:sz w:val="26"/>
          <w:szCs w:val="26"/>
        </w:rPr>
        <w:t xml:space="preserve">Question 29 — Genetics &amp; Evolution — Endogenous Retroviruses (ERVs) and Retrotransposons</w:t>
      </w:r>
    </w:p>
    <w:p>
      <w:pPr>
        <w:spacing w:after="140" w:before="60"/>
      </w:pPr>
      <w:r>
        <w:rPr>
          <w:rFonts w:ascii="Arial" w:cs="Arial" w:eastAsia="Arial" w:hAnsi="Arial"/>
          <w:i/>
          <w:iCs/>
          <w:color w:val="404040"/>
          <w:sz w:val="21"/>
          <w:szCs w:val="21"/>
        </w:rPr>
        <w:t xml:space="preserve">Context: Retroviruses integrate into host genome as proviruses. ERVs are proviruses that integrated into GERMLINE cells and became heritable. Structure: 5'-LTR – gag – pro – pol – env – 3'-LTR. Solo-LTRs form when homologous recombination occurs between the two LTRs, deleting the intervening sequence. Figure 1C: beneficial ERVs increase in frequency, reach fixation; deleterious ERVs decrease; line X shows a trajectory of initial increase then long maintenance/fixation.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Whether a retroviral integration becomes heritable (an ERV) depends entirely on WHICH CELLS are infected. Only integrations into GERMLINE cells (sperm, egg, or their precursors) can be passed to offspring. Integration into SOMATIC cells produces a provirus in that individual only — it is not heritable and cannot become an ERV. If a retrovirus infects only somatic cells (liver, lung, neurons), its integrated DNA is lost when that individual dies. Only germline infection creates the heritable ERVs that become part of the species' genome over generations.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To 'no longer be a virus,' an ERV must lose the ability to form infectious virions. The MINIMUM requirement to lose virion formation is to lose the env (envelope) gene — which encodes the glycoprotein necessary for viral particle production and cell entry. Loss of env alone is sufficient to prevent formation of a fully infectious, transmissible virus particle. If env is deleted, even if gag, pro, and pol are intact, no infectious virus can be released. Therefore losing ONE gene (env) — not at least two — is sufficient.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Solo-LTRs are actually the MOST COMMON form of ERV-derived sequences in many genomes, not the least common. The two LTRs of an integrated ERV are nearly identical in sequence and are prone to homologous recombination between them. This recombination deletes everything between the LTRs (gag, pro, pol, env), leaving only a single LTR (solo-LTR). Over evolutionary time, this process gradually converts full-length ERVs into solo-LTRs. Since solo-LTRs form from all ERV copies that undergo this recombination, they accumulate in abundance while full-length ERVs become rare.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If an ERV encodes a restriction factor that blocks entry of a specific exogenous retrovirus (e.g., by encoding a competing env protein that occupies the receptor), this ERV provides a FITNESS BENEFIT — protecting the host from retroviral infection. Initially beneficial → increases in frequency (positive selection). But as the exogenous retrovirus becomes rare or extinct due to the resistance, the selective pressure maintaining the ERV diminishes. The ERV is no longer under positive selection and begins accumulating neutral mutations. Line X — showing initial rapid increase in frequency then long-term maintenance (or slow decline) — matches this trajectory: initial positive selection followed by relaxed selection.</w:t>
            </w:r>
          </w:p>
        </w:tc>
      </w:tr>
    </w:tbl>
    <w:p>
      <w:pPr>
        <w:spacing w:after="280"/>
      </w:pPr>
    </w:p>
    <w:p>
      <w:pPr>
        <w:pStyle w:val="Heading2"/>
        <w:spacing w:after="120" w:before="240"/>
      </w:pPr>
      <w:r>
        <w:rPr>
          <w:rFonts w:ascii="Arial" w:cs="Arial" w:eastAsia="Arial" w:hAnsi="Arial"/>
          <w:b/>
          <w:bCs/>
          <w:color w:val="1F4E79"/>
          <w:sz w:val="26"/>
          <w:szCs w:val="26"/>
        </w:rPr>
        <w:t xml:space="preserve">Question 30 — Plant Anatomy &amp; Physiology — Gibberellin Transport and Root Endodermis Suberization</w:t>
      </w:r>
    </w:p>
    <w:p>
      <w:pPr>
        <w:spacing w:after="140" w:before="60"/>
      </w:pPr>
      <w:r>
        <w:rPr>
          <w:rFonts w:ascii="Arial" w:cs="Arial" w:eastAsia="Arial" w:hAnsi="Arial"/>
          <w:i/>
          <w:iCs/>
          <w:color w:val="404040"/>
          <w:sz w:val="21"/>
          <w:szCs w:val="21"/>
        </w:rPr>
        <w:t xml:space="preserve">Context: Gibberellin is synthesized in shoots and transported to roots where it regulates endodermal suberization (Casparian strip formation). Figure 1A: wild-type grafts show gibberellin transport from shoot to root; ga1-3 (no gibberellin synthesis) grafts confirm shoot→root direction. npf mutants lack specific transporters. Figure 1B: cytoplasmic (I) and vacuolar (II) gibberellin concentrations in pericycle and endoderm cells. npf2.14 mutant shows zero vacuolar gibberellin, elevated cytoplasmic in endoderm.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1A shows that when a wild-type SHOOT is grafted onto a ga1-3 (gibberellin-deficient) ROOT, suberization is RESTORED to near normal levels. This means gibberellin from the shoot is traveling TO the root — confirming shoot→root transport direction. However, the STATEMENT says transport occurs in the direction root→shoot, which is OPPOSITE to what the figure shows. Additionally, when a ga1-3 shoot is grafted onto a ga1-3 root, suberization decreases, confirming that the source is the shoot (not the root).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Figure 1B shows that in wild-type pericycle cells, the VACUOLAR gibberellin concentration (II) is HIGH while the cytoplasmic (I) concentration is lower. The npf2.14 mutant shows vacuolar concentration drops to zero with elevated cytoplasmic concentration in endoderm cells. This demonstrates that pericycle cell vacuoles normally store/sequester gibberellin, acting as a buffer. When gibberellin needs to be released to the endoderm, the vacuolar store is released. Thus vacuoles regulate the THRESHOLD and temporal availability of gibberellin to surrounding cells.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The npf3.1 mutant impairs gibberellin transport INTO the endodermis. Without adequate gibberellin signaling, the endodermis fails to properly suberize — the Casparian strip (a suberin-based band) is poorly formed. The Casparian strip is the critical barrier that forces all water and solutes to pass through endodermal cell membranes (selective filter) rather than through the cell wall (apoplast). Without this selective barrier, ions, water, and toxins can enter the stele via the apoplast without regulation — making the plant vulnerable to osmotic imbalances, mineral toxicity, and pathogen entry.</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Not all listed transporters are on the plasma membrane. The transporter npf2.14 is specifically located on the VACUOLAR MEMBRANE (tonoplast), as demonstrated by the npf2.14 mutant showing zero vacuolar gibberellin concentration (Figure 1B) — if npf2.14 were on the plasma membrane, its absence would affect cytoplasmic-to-extracellular transport, not vacuolar concentration. The fact that vacuolar storage is specifically abolished in npf2.14 mutants indicates this transporter mediates gibberellin transport across the tonoplast, not the plasma membrane.</w:t>
            </w:r>
          </w:p>
        </w:tc>
      </w:tr>
    </w:tbl>
    <w:p>
      <w:pPr>
        <w:spacing w:after="280"/>
      </w:pPr>
    </w:p>
    <w:p>
      <w:pPr>
        <w:pStyle w:val="Heading2"/>
        <w:spacing w:after="120" w:before="240"/>
      </w:pPr>
      <w:r>
        <w:rPr>
          <w:rFonts w:ascii="Arial" w:cs="Arial" w:eastAsia="Arial" w:hAnsi="Arial"/>
          <w:b/>
          <w:bCs/>
          <w:color w:val="1F4E79"/>
          <w:sz w:val="26"/>
          <w:szCs w:val="26"/>
        </w:rPr>
        <w:t xml:space="preserve">Question 31 — Plant Anatomy &amp; Physiology — Photorespiration Pathway</w:t>
      </w:r>
    </w:p>
    <w:p>
      <w:pPr>
        <w:spacing w:after="140" w:before="60"/>
      </w:pPr>
      <w:r>
        <w:rPr>
          <w:rFonts w:ascii="Arial" w:cs="Arial" w:eastAsia="Arial" w:hAnsi="Arial"/>
          <w:i/>
          <w:iCs/>
          <w:color w:val="404040"/>
          <w:sz w:val="21"/>
          <w:szCs w:val="21"/>
        </w:rPr>
        <w:t xml:space="preserve">Context: Photorespiration recovers RuBP from RuBisCO oxygenation products. When RuBisCO oxygenates RuBP, it produces 2-phosphoglycolate (2-PG, toxic), which is processed through chloroplast, peroxisome, and mitochondria. GDC (Glycine decarboxylase) in mitochondria releases CO₂ and produces serine. The figure shows enzymes: dark green (overexpression → faster rate), orange (overexpression → no effect), magenta (overexpression → slows rate). C4 plants concentrate CO₂ in bundle sheath cells.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GDC catalyzes decarboxylation of glycine, producing CO₂ and serine. If GDC is inhibited, CO₂ release is blocked but serine is still potentially produced via other pathways, or glycine accumulates. However — serine can enter gluconeogenesis (serine → 3-phosphoglycerate → RuBP precursors). The key point: serine production does NOT absolutely require GDC — the serine molecule originates from glycine, but gluconeogenesis can be fed by serine from other sources or by the carbon skeleton. The cell CAN still recover some RuBP through gluconeogenesis from serine, even without GDC.</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Rising atmospheric CO₂ increases the ratio of CO₂ to O₂ at the RuBisCO active site. Since RuBisCO's oxygenase activity competes with carboxylase activity, higher CO₂ concentrations FAVOR carboxylation (Calvin cycle) over oxygenation (photorespiration). More CO₂ → less RuBP oxygenated → LESS 2-PG produced → LESS photorespiration needed. Rising CO₂ actually REDUCES the need for photorespiration, not increases it.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figure shows peroxisome enzymes in both orange (no effect when overexpressed) and magenta (overexpression SLOWS the rate) colors. If ALL peroxisome enzymes were overexpressed, the magenta enzyme (which inhibits/slows the rate when overexpressed) would slow down photorespiration. The net effect would be SLOWER photorespiration per cycle compared to wild-type — not faster. The negative effect of overexpressing the magenta enzyme would dominate the cycle time.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C4 plants use a carbon-concentrating mechanism: PEP carboxylase in mesophyll cells fixes CO₂ into C4 acids (malate/aspartate), which are transported to bundle sheath cells and decarboxylated to release CO₂ at high concentrations near RuBisCO. This high local CO₂ concentration in bundle sheath cells overwhelmingly favors RuBisCO's carboxylase activity over oxygenase activity. Photorespiration is therefore dramatically reduced in C4 plants compared to C3 plants, where RuBisCO encounters ambient CO₂:O₂ ratios.</w:t>
            </w:r>
          </w:p>
        </w:tc>
      </w:tr>
    </w:tbl>
    <w:p>
      <w:pPr>
        <w:spacing w:after="280"/>
      </w:pPr>
    </w:p>
    <w:p>
      <w:pPr>
        <w:pStyle w:val="Heading2"/>
        <w:spacing w:after="120" w:before="240"/>
      </w:pPr>
      <w:r>
        <w:rPr>
          <w:rFonts w:ascii="Arial" w:cs="Arial" w:eastAsia="Arial" w:hAnsi="Arial"/>
          <w:b/>
          <w:bCs/>
          <w:color w:val="1F4E79"/>
          <w:sz w:val="26"/>
          <w:szCs w:val="26"/>
        </w:rPr>
        <w:t xml:space="preserve">Question 32 — Plant Anatomy &amp; Physiology — Poaceae Stomata Mechanism</w:t>
      </w:r>
    </w:p>
    <w:p>
      <w:pPr>
        <w:spacing w:after="140" w:before="60"/>
      </w:pPr>
      <w:r>
        <w:rPr>
          <w:rFonts w:ascii="Arial" w:cs="Arial" w:eastAsia="Arial" w:hAnsi="Arial"/>
          <w:i/>
          <w:iCs/>
          <w:color w:val="404040"/>
          <w:sz w:val="21"/>
          <w:szCs w:val="21"/>
        </w:rPr>
        <w:t xml:space="preserve">Context: Poaceae (grass) stomata have dumbbell-shaped guard cells with subsidiary cells. Synchronized H (hyperpolarization) and D (depolarization) membrane potential changes activate ion channels, enabling rapid osmotic water flow. Due to geometry, subsidiary cells LOSE turgor when guard cells GAIN it, enabling a wide open pore. Ion channels (K⁺) move potassium, with aquaporins (H₂O channels) facilitating water movement.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The synchronized H/D mechanism that opens and closes stomata involves membrane polarization changes. An external electric pulse could mimic these polarization signals — a depolarization pulse could trigger the same ion channel responses that normally open stomata (K⁺ influx into guard cells → turgor increase → opening), and a hyperpolarization pulse could trigger closing signals. Since both opening (D followed by H in specific cells) and closing (reverse) involve membrane potential changes, electrodes could artificially induce both responses.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key advantage of Poaceae stomata is that subsidiary cells BEND INWARD to accommodate the swelling guard cells, widening the pore. This bending requires flexible subsidiary cell walls. If subsidiary cell walls are reinforced with LIGNIN (a rigid structural polymer), the walls become stiff and cannot deform. The subsidiary cells would be unable to bend inward when guard cells swell — actually RESTRICTING the opening rather than accommodating it. Lignin reinforcement would make stomata SLOWER and NARROWER in opening, not quicker.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Potassium ion (K⁺) influx into guard cells creates the osmotic gradient that drives water entry, increasing turgor and opening stomata. If plants are POTASSIUM-DEFICIENT, guard cells cannot accumulate sufficient K⁺ to generate high osmotic pressure. Less K⁺ → less water influx → smaller turgor increase → guard cells cannot swell to their maximum size → SMALLER maximum pore area, not larger. K⁺ deficiency limits the magnitude of stomatal opening.</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Aquaporins are passive water channels — they facilitate water movement DOWN its osmotic gradient but cannot generate flow on their own or reverse it. They ONLY affect the RATE of osmosis (how fast water moves), not whether water flows or in which direction. Opening vs. closing of stomata is determined by K⁺ pumps and ion channel activity creating osmotic gradients. Increasing aquaporin expression would make water equilibrate FASTER between cells (faster opening/closing rates) but would not affect the FINAL equilibrium state (maximum pore size).</w:t>
            </w:r>
          </w:p>
        </w:tc>
      </w:tr>
    </w:tbl>
    <w:p>
      <w:pPr>
        <w:spacing w:after="280"/>
      </w:pPr>
    </w:p>
    <w:p>
      <w:pPr>
        <w:pStyle w:val="Heading2"/>
        <w:spacing w:after="120" w:before="240"/>
      </w:pPr>
      <w:r>
        <w:rPr>
          <w:rFonts w:ascii="Arial" w:cs="Arial" w:eastAsia="Arial" w:hAnsi="Arial"/>
          <w:b/>
          <w:bCs/>
          <w:color w:val="1F4E79"/>
          <w:sz w:val="26"/>
          <w:szCs w:val="26"/>
        </w:rPr>
        <w:t xml:space="preserve">Question 33 — Plant Anatomy &amp; Physiology — Xanthophyll Cycle and Photoprotection</w:t>
      </w:r>
    </w:p>
    <w:p>
      <w:pPr>
        <w:spacing w:after="140" w:before="60"/>
      </w:pPr>
      <w:r>
        <w:rPr>
          <w:rFonts w:ascii="Arial" w:cs="Arial" w:eastAsia="Arial" w:hAnsi="Arial"/>
          <w:i/>
          <w:iCs/>
          <w:color w:val="404040"/>
          <w:sz w:val="21"/>
          <w:szCs w:val="21"/>
        </w:rPr>
        <w:t xml:space="preserve">Context: Excess light → proton accumulation in thylakoid lumen → lower pH → de-epoxidase activation → converts precursors (Pre-Z: violaxanthin, antheraxanthin) → zeaxanthin (Z). Z protonated → changes PSII conformation → dissipates excess energy as heat (non-photochemical quenching). Epoxidase reverses Z→Pre-Z in lower light. Reduced ascorbate (Vitamin C) is cofactor for de-epoxidase.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Without de-epoxidase, pre-Z cannot be converted to zeaxanthin under excess light. Zeaxanthin is the key effector of non-photochemical quenching (NPQ) — the mechanism that dissipates excess light energy as heat. Without Z production, the plant has no xanthophyll-based photoprotection. Under intense sunlight, excess light energy would generate reactive oxygen species (singlet oxygen, superoxide), causing severe photooxidative damage. Plants without this protection mechanism would suffer lethal oxidative stress in direct sunlight and would prefer SHADE to avoid damage.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 temperate steppe shrub population is continuously exposed to DIRECT SUNLIGHT — high light intensity throughout the day with no canopy above. To photoprotect its photosystems from excess light damage, steppe plants upregulate the xanthophyll cycle, maintaining higher total xanthophyll concentrations (Pre-Z + Z pool). Forest understory plants receive low, diffuse light filtered by the canopy — they rarely need photoprotection and downregulate the xanthophyll pool. Therefore, the steppe shrub population has HIGHER xanthophyll leaf content.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Hot subtropical climates present a challenge: zeaxanthin dissipates excess energy as HEAT, but if the leaf is already very hot, adding more heat dissipation could damage membranes and proteins further. Under hot-and-sunny conditions, the xanthophyll cycle mechanism (heat dissipation) may actually be maladaptive — the plant already has excess heat. Plants adapted to hot-sunny climates may instead reduce the total xanthophyll pool or use alternative photoprotection (carotenoid synthesis, leaf angle adjustments). The TOTAL xanthophyll may be LOWER in very hot-and-sunny climates compared to cool-and-sunny ones where heat dissipation is safe and beneficial.</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Leaves exposed to HIGH LIGHT (top of canopy, full sun) must produce MORE zeaxanthin from Pre-Z to continuously protect against excess light. De-epoxidase requires REDUCED ASCORBATE (ascorbic acid/Vitamin C) as a cofactor. To produce more zeaxanthin more rapidly, high-light leaves must maintain a LARGER POOL of reduced ascorbate. Plants acclimated to high light intensities have significantly larger ascorbate pools than shade leaves. Therefore, eating top-canopy leaves provides more Vitamin C (ascorbate) than eating shade/understory leaves.</w:t>
            </w:r>
          </w:p>
        </w:tc>
      </w:tr>
    </w:tbl>
    <w:p>
      <w:pPr>
        <w:spacing w:after="280"/>
      </w:pPr>
    </w:p>
    <w:p>
      <w:pPr>
        <w:pStyle w:val="Heading2"/>
        <w:spacing w:after="120" w:before="240"/>
      </w:pPr>
      <w:r>
        <w:rPr>
          <w:rFonts w:ascii="Arial" w:cs="Arial" w:eastAsia="Arial" w:hAnsi="Arial"/>
          <w:b/>
          <w:bCs/>
          <w:color w:val="1F4E79"/>
          <w:sz w:val="26"/>
          <w:szCs w:val="26"/>
        </w:rPr>
        <w:t xml:space="preserve">Question 34 — Plant Anatomy &amp; Physiology — Maize Leaf Carbohydrate Allocation</w:t>
      </w:r>
    </w:p>
    <w:p>
      <w:pPr>
        <w:spacing w:after="140" w:before="60"/>
      </w:pPr>
      <w:r>
        <w:rPr>
          <w:rFonts w:ascii="Arial" w:cs="Arial" w:eastAsia="Arial" w:hAnsi="Arial"/>
          <w:i/>
          <w:iCs/>
          <w:color w:val="404040"/>
          <w:sz w:val="21"/>
          <w:szCs w:val="21"/>
        </w:rPr>
        <w:t xml:space="preserve">Context: Three maize cultivars were measured for starch (S) and total soluble carbohydrate (TSC) concentrations in leaves at different times of day (t=hour) during two vegetative stages and one reproductive stage. Graphs A (early vegetative), B (late vegetative), C (reproductive) show S and TSC vs. time of day. During reproductive stage, fast-growing kernels demand large carbohydrate supply from leaves.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By 9am (t=9), both starch and TSC graphs already show POSITIVE changes from their night-time minimums — meaning they had ALREADY increased before 9am. Since starch and TSC can only increase in photosynthetic cells through photosynthesis (the primary carbon input), photosynthesis must have begun BEFORE 9am. The data shows carbohydrate accumulation beginning around dawn (t=6 or earlier), not waiting until 9am. Therefore, 9am is NOT the start of photosynthesis.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During the reproductive stage (Graph C), TSC peaks are much higher (~120 units) compared to vegetative stages (~72-90 units). This elevated TSC is driven by the large demand from growing kernels — kernels preferentially use SOLUBLE SUGARS (sucrose, glucose, fructose) for rapid import via phloem (sucrose transport). When kernels are rapidly growing, the leaves produce MORE TSC and export more to meet kernel demand, transiently elevating leaf TSC levels before export. The peak TSC is higher because the sink (kernel) demand stimulates increased soluble sugar production.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TSC concentration at t=6 (early morning) is typically higher than at t=24 (midnight, end of previous day) because: (1) overnight, cells continue consuming sugars for respiration — depleting TSC; (2) at t=6, some TSC remains from previous day's photosynthesis. The DIFFERENCE between t=6 and t=24 is partially due to CELLULAR RESPIRATION consuming TSC during the night. Glucose from the TSC pool fuels glycolysis and the TCA cycle during the dark period, reducing TSC over the dark hours.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LOWER leaf starch content during the reproductive stage means that carbohydrates are being EXPORTED from leaves to seeds more efficiently, with less being stored locally as starch. For crop plants, more carbohydrate reaching the developing endosperm (the starchy part humans consume) is a BENEFICIAL trait — it means more sugars are being delivered to seeds rather than stored in leaves. Therefore, lower leaf starch content is BENEFICIAL (not detrimental) for selecting plants with bigger, carbohydrate-rich seeds.</w:t>
            </w:r>
          </w:p>
        </w:tc>
      </w:tr>
    </w:tbl>
    <w:p>
      <w:pPr>
        <w:spacing w:after="280"/>
      </w:pPr>
    </w:p>
    <w:p>
      <w:pPr>
        <w:pStyle w:val="Heading2"/>
        <w:spacing w:after="120" w:before="240"/>
      </w:pPr>
      <w:r>
        <w:rPr>
          <w:rFonts w:ascii="Arial" w:cs="Arial" w:eastAsia="Arial" w:hAnsi="Arial"/>
          <w:b/>
          <w:bCs/>
          <w:color w:val="1F4E79"/>
          <w:sz w:val="26"/>
          <w:szCs w:val="26"/>
        </w:rPr>
        <w:t xml:space="preserve">Question 35 — Plant Anatomy &amp; Physiology — Sequoia Tree Water Use Strategies</w:t>
      </w:r>
    </w:p>
    <w:p>
      <w:pPr>
        <w:spacing w:after="140" w:before="60"/>
      </w:pPr>
      <w:r>
        <w:rPr>
          <w:rFonts w:ascii="Arial" w:cs="Arial" w:eastAsia="Arial" w:hAnsi="Arial"/>
          <w:i/>
          <w:iCs/>
          <w:color w:val="404040"/>
          <w:sz w:val="21"/>
          <w:szCs w:val="21"/>
        </w:rPr>
        <w:t xml:space="preserve">Context: Two Sequoia species are compared using PCA plots. PC2: low=efficient stomatal water use; high=efficient xylem water use (more costly upfront but allows more transpiration). PC3: inversely proportional to leaf mass and wood density (lower PC3 = denser wood, heavier leaves). Symbol size = tree height. S. sempervirens = alluvial flood plain (wet soil). S. giganteum = mountain slopes (dry soil). The fluid dynamics height limit for water columns exists.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PC3 is inversely proportional to wood density — lower PC3 values correspond to DENSER wood. S. giganteum (mountain species, dry soil) shows LOWER PC3 values than S. sempervirens in the plot. Since PC3 is inversely proportional to wood density, lower PC3 = denser wood. Therefore, S. giganteum has denser wood on average than S. sempervirens — consistent with drier habitats selecting for denser, more resistant xylem.</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Resistance to xylem blockage (embolism) correlates with higher PC2 (efficient xylem water use — xylem adaptations that resist blockage at the cost of higher carbon investment). Looking at the plot, for S. sempervirens, TALLER trees (larger symbols) have HIGHER PC2 values — taller S. sempervirens trees invest more in xylem adaptations, which is consistent with their need to lift water to greater heights. SHORT S. sempervirens trees have lower PC2, meaning they rely more on stomatal regulation than xylem adaptation. Therefore, it is TALL trees (not short ones) that are more adapted to resist xylem blockage.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S. giganteum grows on dry mountain slopes where water is scarce. Under dry conditions, stomatal control (cheap, flexible) is the preferred water-conservation strategy (lower PC2 = efficient stomatal use). Xylem adaptations (high PC2) are costly but allow more transpiration when water is available. If S. giganteum were IRRIGATED for several generations, the selective pressure for stomatal conservation would decrease — the wetter conditions would allow investment in xylem adaptations (like S. sempervirens does in wet alluvial soil). Descendants would evolve higher PC2 scores over generations.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To determine if there's a negative correlation between S. sempervirens wood density and height, compare PC3 (inversely proportional to density) with symbol size (height). In the figure, small and large symbols intermix in their PC3 positions — there is no clear pattern where taller trees consistently have lower PC3 (higher density). Furthermore, a negative density-height correlation (taller trees having denser wood) does not make biological sense — taller trees might have either denser (mechanical support) OR less dense (lighter weight) wood depending on the species. The data shows no strong pattern.</w:t>
            </w:r>
          </w:p>
        </w:tc>
      </w:tr>
    </w:tbl>
    <w:p>
      <w:pPr>
        <w:spacing w:after="280"/>
      </w:pPr>
    </w:p>
    <w:p>
      <w:pPr>
        <w:pStyle w:val="Heading2"/>
        <w:spacing w:after="120" w:before="240"/>
      </w:pPr>
      <w:r>
        <w:rPr>
          <w:rFonts w:ascii="Arial" w:cs="Arial" w:eastAsia="Arial" w:hAnsi="Arial"/>
          <w:b/>
          <w:bCs/>
          <w:color w:val="1F4E79"/>
          <w:sz w:val="26"/>
          <w:szCs w:val="26"/>
        </w:rPr>
        <w:t xml:space="preserve">Question 36 — Plant Anatomy &amp; Physiology — Aquatic Carbon Uptake</w:t>
      </w:r>
    </w:p>
    <w:p>
      <w:pPr>
        <w:spacing w:after="140" w:before="60"/>
      </w:pPr>
      <w:r>
        <w:rPr>
          <w:rFonts w:ascii="Arial" w:cs="Arial" w:eastAsia="Arial" w:hAnsi="Arial"/>
          <w:i/>
          <w:iCs/>
          <w:color w:val="404040"/>
          <w:sz w:val="21"/>
          <w:szCs w:val="21"/>
        </w:rPr>
        <w:t xml:space="preserve">Context: Dissolved inorganic carbon in water: H₂CO₃ (carbonic acid), HCO₃⁻ (bicarbonate), CO₃²⁻ (carbonate). Distribution depends on pH (figure shows Mol% vs. pH). At oceanic pH≈8: HCO₃⁻ dominates (&gt;90%). At freshwater pH≈7: mix of CO₂/H₂CO₃ and HCO₃⁻. Carbonic anhydrase: CO₂ + H₂O ⇌ H₂CO₃ ⇌ H⁺ + HCO₃⁻. Diffusion is slower in water than air. Plants can uptake HCO₃⁻ faster than dissolved CO₂.</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Terrestrial plants have thick cuticles to prevent WATER LOSS (desiccation). Submerged aquatic plants face the OPPOSITE problem — they need to MAXIMIZE gas exchange (CO₂ uptake, O₂ release) across their surfaces, not prevent water loss. A thick cuticle would IMPEDE gas exchange in water, reducing CO₂ access to photosynthetic cells. Aquatic plants therefore tend to have THIN or NO cuticle on submersed leaves, maximizing the surface area available for direct uptake of dissolved gases across the epidermis.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At oceanic pH≈8, the graph shows that HCO₃⁻ comprises approximately 90%+ of total dissolved inorganic carbon. Dissolved CO₂/H₂CO₃ is present only at very low concentrations at pH 8. Since plants can take up HCO₃⁻ faster than CO₂ (as stated in the problem), and HCO₃⁻ so dominates at ocean pH, aquatic plants in marine environments have adapted to use HCO₃⁻ as their primary carbon source. This is an adaptation to the chemical reality of their environment.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In stationary freshwater (pH≈7), a mix of dissolved CO₂ and HCO₃⁻ exists. If epidermal cells release PROTONS (H⁺) into the surrounding water, they locally ACIDIFY the water near the leaf surface (pH decreases). At lower pH, the equilibrium CO₂ + H₂O ⇌ H⁺ + HCO₃⁻ shifts LEFT (toward CO₂ production). This converts local HCO₃⁻ into dissolved CO₂ at the leaf surface, effectively concentrating CO₂ near the uptake sites and increasing the diffusion gradient for CO₂ entry into the cell.</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Plants using carbonic anhydrase (CA) convert HCO₃⁻ to CO₂ intracellularly: HCO₃⁻ → CO₂ + OH⁻ (or H₂O). This rapid intracellular CO₂ generation drives the Calvin cycle forward. To sustain this, the Calvin cycle (RuBisCO) must efficiently consume the CO₂ as fast as CA produces it — otherwise CO₂ would back-equilibrate. For this to work effectively, RuBisCO must have HIGH CO₂ fixation efficiency (high kcat or high CO₂ affinity) to maintain the asymmetry that pulls the CA reaction forward. Plants NOT using CA and directly taking up CO₂ face no such requirement.</w:t>
            </w:r>
          </w:p>
        </w:tc>
      </w:tr>
    </w:tbl>
    <w:p>
      <w:pPr>
        <w:spacing w:after="280"/>
      </w:pPr>
    </w:p>
    <w:p>
      <w:pPr>
        <w:pStyle w:val="Heading2"/>
        <w:spacing w:after="120" w:before="240"/>
      </w:pPr>
      <w:r>
        <w:rPr>
          <w:rFonts w:ascii="Arial" w:cs="Arial" w:eastAsia="Arial" w:hAnsi="Arial"/>
          <w:b/>
          <w:bCs/>
          <w:color w:val="1F4E79"/>
          <w:sz w:val="26"/>
          <w:szCs w:val="26"/>
        </w:rPr>
        <w:t xml:space="preserve">Question 37 — Plant Anatomy &amp; Physiology — Root Water Movement and Osmotic Regulation</w:t>
      </w:r>
    </w:p>
    <w:p>
      <w:pPr>
        <w:spacing w:after="140" w:before="60"/>
      </w:pPr>
      <w:r>
        <w:rPr>
          <w:rFonts w:ascii="Arial" w:cs="Arial" w:eastAsia="Arial" w:hAnsi="Arial"/>
          <w:i/>
          <w:iCs/>
          <w:color w:val="404040"/>
          <w:sz w:val="21"/>
          <w:szCs w:val="21"/>
        </w:rPr>
        <w:t xml:space="preserve">Context: Figure shows a root cross-section with water movement (red arrows) from soil (Zone A) through root cortex (Zone B) to stele (Zone C). Zone B osmolarity = 0.3 Osm/L. Red arrows show symplastic and apoplastic pathways converging at the endodermis (Casparian strip). Casparian strip forces symplastic crossing of the endodermis.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Water moves from Zone A (soil) to Zone B (cortex) via BOTH the apoplastic pathway (through cell walls without crossing plasma membranes) AND the symplastic pathway (crossing plasma membranes via aquaporins). The Casparian strip (at the endodermis border between B and C) forces all water to cross a plasma membrane at the endodermis specifically — but in Zone B (cortex), water moves freely through cell walls (apoplast) without necessarily crossing any plasma membrane. NOT ALL water molecules cross through the plasma membrane to enter Zone B.</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For water to flow FROM soil (Zone A) INTO root cortex cells (Zone B) by osmosis, the water potential in Zone B must be LOWER than in Zone A. Lower water potential in Zone B means a higher concentration of dissolved solutes in B, which means MORE solutes bound to water molecules — meaning FEWER FREE water molecules per unit volume (lower activity of free water). If the concentration of free water molecules in Zone B were GREATER than in Zone A, water would flow OUTWARD (from Zone B to Zone A), which is opposite to what the arrows show.</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During prolonged flooding, root zones experience oxygen deprivation (anoxia). Plant cells in Zone B (root cortex) undergo anaerobic stress — they cannot maintain ATP production adequately without oxygen, leading to cellular dysfunction and eventually CELL DEATH (programmed cell death / aerenchyma formation). When cortical cells die, they collapse and leave VOIDS — air spaces (aerenchyma). This aerenchyma allows oxygen to diffuse from aerial parts down to flooded root zones, improving root aeration. The formation of air channels in Zone B during flood is a well-documented plant adaptation.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 0.2 M NaCl solution: since NaCl dissociates into Na⁺ and Cl⁻, the effective osmolarity = 0.2 mol/L × 2 ions = 0.4 Osm/L. Zone B cell osmolarity = 0.3 Osm/L. Since the external NaCl solution (0.4 Osm/L) is MORE concentrated (higher osmolarity, lower water potential) than Zone B cells (0.3 Osm/L), water will move OUTWARD from Zone B cells into the NaCl solution by osmosis. The cells will LOSE water (plasmolysis — cell shrinkage as vacuole shrinks and cytoplasm pulls away from cell wall).</w:t>
            </w:r>
          </w:p>
        </w:tc>
      </w:tr>
    </w:tbl>
    <w:p>
      <w:pPr>
        <w:spacing w:after="280"/>
      </w:pPr>
    </w:p>
    <w:p>
      <w:pPr>
        <w:pStyle w:val="Heading2"/>
        <w:spacing w:after="120" w:before="240"/>
      </w:pPr>
      <w:r>
        <w:rPr>
          <w:rFonts w:ascii="Arial" w:cs="Arial" w:eastAsia="Arial" w:hAnsi="Arial"/>
          <w:b/>
          <w:bCs/>
          <w:color w:val="1F4E79"/>
          <w:sz w:val="26"/>
          <w:szCs w:val="26"/>
        </w:rPr>
        <w:t xml:space="preserve">Question 38 — Animal Anatomy &amp; Physiology — ECG Interpretation</w:t>
      </w:r>
    </w:p>
    <w:p>
      <w:pPr>
        <w:spacing w:after="140" w:before="60"/>
      </w:pPr>
      <w:r>
        <w:rPr>
          <w:rFonts w:ascii="Arial" w:cs="Arial" w:eastAsia="Arial" w:hAnsi="Arial"/>
          <w:i/>
          <w:iCs/>
          <w:color w:val="404040"/>
          <w:sz w:val="21"/>
          <w:szCs w:val="21"/>
        </w:rPr>
        <w:t xml:space="preserve">Context: ECG: Lead I (right arm – left arm), Lead II (right arm – left leg), Lead III (left arm – left leg). Figure 1A: Einthoven's triangle with red vector (mean cardiac vector). Figure 1B: Lead II ECG trace showing P, QRS, T waves. Figure 1C: membrane potentials of cardiomyocytes from different regions — curves 1, 2, 3. SA node: slow depolarization to threshold (pacemaker); atrial/ventricular myocytes: fast action potentials.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sinoatrial (SA) node produces curve 3 in Figure 1C — characterized by spontaneous, gradual depolarization (pacemaker potential) with a slower upstroke (no fast Na⁺ channels), shorter plateau, and automatic rhythmic firing. Curve 2 corresponds to a ventricular myocyte (fast upstroke, long plateau ~200ms). Curve 1 corresponds to an atrial myocyte. The slow diastolic depolarization (funny current, If) seen in curve 3 is the hallmark SA node pacemaker potential. The statement claims curve 2 = SA node, which is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Full atrioventricular (AV) node blockade means the impulse from the SA node/atria cannot reach the ventricles. In this case, the ATRIA still depolarize normally (P waves would be visible), but the QRS complex (ventricular depolarization) would not follow in the normal relationship. However, the ventricles would eventually show escape rhythms from a subsidiary pacemaker (AV nodal escape or ventricular escape). P waves would be visible, but QRS complexes would occur independently (P-QRS dissociation). The statement says ONLY P waves visible — FALSE, as escape QRS complexes from ventricular pacemakers would also appear.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S wave is part of the QRS complex — it represents DEPOLARIZATION of the ventricular myocardium, specifically the basal/septal ventricular regions where the depolarization wave travels AWAY from the lead II electrode (producing the downward S deflection). Repolarization is represented by the T wave. The QRS complex (including Q, R, and S waves) ALL represent ventricular depolarization. The S wave is specifically the last depolarization of the QRS, not repolarization.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In Figure 1A, the mean cardiac electrical vector (red arrow) is aligned approximately in the direction of Lead II. The amplitude of a wave in any lead depends on the DOT PRODUCT of the mean cardiac vector with the lead vector. Lead II runs from upper-right (right arm) to lower-left (left leg) — in the direction of the mean cardiac vector. Lead III runs from lower-right (left arm) to lower (left leg) — at an angle to the mean vector. Since the mean vector aligns more with Lead II than Lead III, the P wave (atrial depolarization) amplitude is larger in Lead II.</w:t>
            </w:r>
          </w:p>
        </w:tc>
      </w:tr>
    </w:tbl>
    <w:p>
      <w:pPr>
        <w:spacing w:after="280"/>
      </w:pPr>
    </w:p>
    <w:p>
      <w:pPr>
        <w:pStyle w:val="Heading2"/>
        <w:spacing w:after="120" w:before="240"/>
      </w:pPr>
      <w:r>
        <w:rPr>
          <w:rFonts w:ascii="Arial" w:cs="Arial" w:eastAsia="Arial" w:hAnsi="Arial"/>
          <w:b/>
          <w:bCs/>
          <w:color w:val="1F4E79"/>
          <w:sz w:val="26"/>
          <w:szCs w:val="26"/>
        </w:rPr>
        <w:t xml:space="preserve">Question 39 — Animal Anatomy &amp; Physiology — Snow Leopard Hemoglobin at High Altitude</w:t>
      </w:r>
    </w:p>
    <w:p>
      <w:pPr>
        <w:spacing w:after="140" w:before="60"/>
      </w:pPr>
      <w:r>
        <w:rPr>
          <w:rFonts w:ascii="Arial" w:cs="Arial" w:eastAsia="Arial" w:hAnsi="Arial"/>
          <w:i/>
          <w:iCs/>
          <w:color w:val="404040"/>
          <w:sz w:val="21"/>
          <w:szCs w:val="21"/>
        </w:rPr>
        <w:t xml:space="preserve">Context: Snow leopards hyperventilate at high altitude. O₂-equilibrium curves measured for African lion (A) and snow leopard (B) HbA and HbB isoforms. Triangles=DPG-added; circles=DPG-free. HbA/HbB from each species compared to human Hb. Figure 1C shows changes in P50 (O₂ pressure at 50% saturation) with KCl or DPG addition. Increased P50 = decreased O₂ affinity; decreased P50 = increased O₂ affinity.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Snow leopard hemoglobin curves in Figure 1B show that the DPG-added (triangle) and DPG-free (circle) curves for both HbA and HbB are nearly IDENTICAL — the curves overlap extensively. This means DPG has MINIMAL allosteric effect on snow leopard Hb. In contrast, human Hb shows a clear rightward shift (higher P50) with DPG addition — DPG significantly DECREASES human Hb's O₂ affinity. Therefore, DPG has a WEAKER, not stronger, allosteric effect on snow leopard Hb compared to humans.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Snow leopards at high altitude hyperventilate to compensate for low O₂ partial pressure. Hyperventilation eliminates more CO₂, raising blood pH (respiratory alkalosis — higher pH from less carbonic acid). To maintain acid-base homeostasis, the kidneys compensate by EXCRETING more bicarbonate (HCO₃⁻) in the urine (renal compensation). This returns blood pH toward normal. Snow leopards at HIGH altitude excrete more HCO₃⁻ (due to respiratory alkalosis compensation) than those at lowland areas (who don't hyperventilate as much).</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1B (snow leopard) shows that the O₂-hemoglobin dissociation curves for snow leopard HbA and HbB are nearly IDENTICAL to those of human Hb (white shapes) — the curves overlap extensively. The O₂ affinity (P50 value) of snow leopard Hb is similar to that of human Hb. Therefore, snow leopard hemoglobin is NOT biochemically adapted to high altitude — it has essentially the same O₂ affinity as human hemoglobin from sea level. Snow leopards instead rely on PHYSIOLOGICAL adaptations (hyperventilation) to function at high altitude.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1C shows P50 changes with KCl addition (x-axis for KCl data). A POSITIVE ΔP50 with KCl means KCl INCREASES P50 = DECREASES O₂ affinity. KCl DOES NOT cause an 'increase in affinity' in either species. Furthermore, comparing the magnitudes for African lion HbA vs. snow leopard HbB: Figure 1C shows that KCl produces a LARGER increase in P50 for African lion HbA (positive value, larger magnitude) vs. a smaller increase (or essentially no change) for snow leopard HbB. Both species show decreased affinity with KCl, with lion HbA showing a stronger effect — therefore the statement is FALSE.</w:t>
            </w:r>
          </w:p>
        </w:tc>
      </w:tr>
    </w:tbl>
    <w:p>
      <w:pPr>
        <w:spacing w:after="280"/>
      </w:pPr>
    </w:p>
    <w:p>
      <w:pPr>
        <w:pStyle w:val="Heading2"/>
        <w:spacing w:after="120" w:before="240"/>
      </w:pPr>
      <w:r>
        <w:rPr>
          <w:rFonts w:ascii="Arial" w:cs="Arial" w:eastAsia="Arial" w:hAnsi="Arial"/>
          <w:b/>
          <w:bCs/>
          <w:color w:val="1F4E79"/>
          <w:sz w:val="26"/>
          <w:szCs w:val="26"/>
        </w:rPr>
        <w:t xml:space="preserve">Question 40 — Animal Anatomy &amp; Physiology — Circadian Misalignment in Mice</w:t>
      </w:r>
    </w:p>
    <w:p>
      <w:pPr>
        <w:spacing w:after="140" w:before="60"/>
      </w:pPr>
      <w:r>
        <w:rPr>
          <w:rFonts w:ascii="Arial" w:cs="Arial" w:eastAsia="Arial" w:hAnsi="Arial"/>
          <w:i/>
          <w:iCs/>
          <w:color w:val="404040"/>
          <w:sz w:val="21"/>
          <w:szCs w:val="21"/>
        </w:rPr>
        <w:t xml:space="preserve">Context: Mice (nocturnal) fed during light phase (light-fed) vs. dark phase (dark-fed). 12h light/12h dark cycle. Figure 1 shows locomotor activity (DA/LA) and calorie intake (DC/LC) over weeks. Figure 2 shows body temperature over 5-7 day recordings for both groups. Light-fed mice: decreased activity, slightly increased calorie intake vs. dark-fed. Body temperature: light-fed shows wider range (34-38°C), dark-fed shows normal narrower range.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From Figure 1, light-fed mice consistently show LOWER locomotor activity than dark-fed mice over weeks (LA &lt; DA). Despite this, light-fed mice consume slightly MORE calories (LC ≥ DC). Less physical activity + same or more caloric intake → energy surplus → weight gain. This metabolic imbalance means light-fed mice are likely to accumulate more body fat and have HIGHER body weight than dark-fed mice, which behave in alignment with their natural (nocturnal) feeding schedule.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Mice are NOCTURNAL animals — they are naturally active and feed during the DARK phase. Dark-phase feeding is ALIGNED with the mice's natural circadian biology. It is LIGHT-PHASE feeding that creates misalignment — forcing the mice to eat during their natural rest period. Therefore, light-time feeding (not night-time/dark-time feeding) is the example of circadian-behavior misalignment. The statement incorrectly labels night-time feeding as misalignment when it is actually the normal/aligned behavior for mice.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2 shows body temperature recordings. LIGHT-fed mice (Figure 2A) show a WIDER temperature range than dark-fed mice: before experiment ~36-38°C, during light-time feeding ~34-38°C (range increases to 4°C). DARK-fed mice (Figure 2B) maintain their normal body temperature range without significant widening. Therefore, LIGHT-TIME feeding (not night-time feeding) altered the circadian body temperature range more strongly.</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 shows that light-fed mice show DECREASING locomotor activity over time, but their CALORIC INTAKE (LC) from approximately mid-week 2 to mid-week 6 remains RELATIVELY STABLE — it does not decrease proportionally with activity. If the reduced activity were CAUSED by reduced calorie intake, we would expect calorie intake to drop simultaneously with activity. Since calorie intake stays relatively stable while activity decreases, the drop in locomotor activity cannot be simply explained by reduced calorie intake.</w:t>
            </w:r>
          </w:p>
        </w:tc>
      </w:tr>
    </w:tbl>
    <w:p>
      <w:pPr>
        <w:spacing w:after="280"/>
      </w:pPr>
    </w:p>
    <w:p>
      <w:pPr>
        <w:pStyle w:val="Heading2"/>
        <w:spacing w:after="120" w:before="240"/>
      </w:pPr>
      <w:r>
        <w:rPr>
          <w:rFonts w:ascii="Arial" w:cs="Arial" w:eastAsia="Arial" w:hAnsi="Arial"/>
          <w:b/>
          <w:bCs/>
          <w:color w:val="1F4E79"/>
          <w:sz w:val="26"/>
          <w:szCs w:val="26"/>
        </w:rPr>
        <w:t xml:space="preserve">Question 41 — Animal Anatomy &amp; Physiology — Octopus Active Sleep and Circadian Control</w:t>
      </w:r>
    </w:p>
    <w:p>
      <w:pPr>
        <w:spacing w:after="140" w:before="60"/>
      </w:pPr>
      <w:r>
        <w:rPr>
          <w:rFonts w:ascii="Arial" w:cs="Arial" w:eastAsia="Arial" w:hAnsi="Arial"/>
          <w:i/>
          <w:iCs/>
          <w:color w:val="404040"/>
          <w:sz w:val="21"/>
          <w:szCs w:val="21"/>
        </w:rPr>
        <w:t xml:space="preserve">Context: Octopus laqueus shows two sleep stages: quiet sleep (QS) and active sleep (AS) with active bouts (eye movements, skin pattern transitions). Possible analog to vertebrate non-REM (QS) and REM (AS). Figure 1A: bouts per hour over 36h, before (Q) and after (R) 2-day sleep deprivation. Figure 1B: probability of next bout occurring N minutes after normal (S) or interrupted (T) bout. Figure 1C: bouts per hour over 3 days of constant darkness.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Figure 1C shows that even under CONSTANT DARKNESS (no external light cues), active bouts occur in a rhythmic pattern over 3 days. The rhythm persists without any external zeitgeber (time-giver), indicating that the timing of active bouts is controlled by an INTERNAL CIRCADIAN MECHANISM, not by external environmental signals (light/dark). This free-running circadian rhythm in constant darkness is classic evidence of endogenous circadian control.</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1A (baseline condition Q, before sleep deprivation) shows that active bouts per hour are HIGHER during the LIGHT phase (daytime) than the dark phase. This suggests octopuses of this species are primarily DIURNAL (active during the day). Active bouts (active sleep) occur more during the light period — these are nocturnal creatures that do most of their sleeping during the day. The number of bouts per hour at night is lower than during the day. Furthermore, the average across 24h would be much less than 8 bouts per night.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1B compares the probability of the next bout occurring N minutes after a NORMAL bout (S) vs. an INTERRUPTED bout (T). The data shows that after an interrupted bout (T), the NEXT bout occurs SOONER (higher probability at smaller N values). This indicates interrupted bouts lead to shorter interbout intervals — suggesting the bout duration was not fulfilled, not that bouts become longer. There is NO data provided about the DURATION of active bouts before and after sleep deprivation. Statement C cannot be supported.</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Figure 1A shows that AFTER sleep deprivation (R period, after 2-day deprivation), the number of active bouts per hour INCREASES compared to the baseline (Q period). This 'rebound' of active bouts after deprivation — increased bouts to compensate for lost ones — indicates that octopuses CAN replenish active bouts if they did not occur in the normal amount. This is analogous to REM sleep rebound in mammals after REM deprivation, further supporting the parallel between octopus AS and vertebrate REM sleep.</w:t>
            </w:r>
          </w:p>
        </w:tc>
      </w:tr>
    </w:tbl>
    <w:p>
      <w:pPr>
        <w:spacing w:after="280"/>
      </w:pPr>
    </w:p>
    <w:p>
      <w:pPr>
        <w:pStyle w:val="Heading2"/>
        <w:spacing w:after="120" w:before="240"/>
      </w:pPr>
      <w:r>
        <w:rPr>
          <w:rFonts w:ascii="Arial" w:cs="Arial" w:eastAsia="Arial" w:hAnsi="Arial"/>
          <w:b/>
          <w:bCs/>
          <w:color w:val="1F4E79"/>
          <w:sz w:val="26"/>
          <w:szCs w:val="26"/>
        </w:rPr>
        <w:t xml:space="preserve">Question 42 — Animal Anatomy &amp; Physiology — Electric Eel Prey Detection</w:t>
      </w:r>
    </w:p>
    <w:p>
      <w:pPr>
        <w:spacing w:after="140" w:before="60"/>
      </w:pPr>
      <w:r>
        <w:rPr>
          <w:rFonts w:ascii="Arial" w:cs="Arial" w:eastAsia="Arial" w:hAnsi="Arial"/>
          <w:i/>
          <w:iCs/>
          <w:color w:val="404040"/>
          <w:sz w:val="21"/>
          <w:szCs w:val="21"/>
        </w:rPr>
        <w:t xml:space="preserve">Context: Electric eels emit low-voltage (LV) impulses for prey detection and high-voltage (HV) impulses for paralysis. Experiment: eel in container with fish corpse (connected via electrodes to upper compartment) below a perforated transparent divider. Conductive and non-conductive rods placed in upper compartment. Result: eel attacked the CONDUCTIVE ROD, not the fish corpse. Figure 2A shows impulse sequence (LV then HV). Figure 2B shows video frames (bottom view and side 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experiment reveals that BOTH low-voltage and high-voltage impulses are involved in prey electrolocation, but in different roles. Low-voltage impulses cause the fish corpse to contract (muscle twitch in response to electrical stimulation), creating mechanical movement in the water. The eel detects this mechanical response as a sign of prey. Then HIGH-VOLTAGE impulses are used to DIRECTLY LOCALIZE the source of the electrical disturbance — the eel attacks the conductive rod because it interferes with the HV electric field, not the LV field. LV alone for electrolocation is insufficient; HV is also required for precise localization.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divider is described as 'transparent' and 'perforated' — it has holes/perforations that allow water to flow between compartments. The eel's low-voltage impulse traveled through the water (and via the electrodes) to stimulate the fish corpse, causing it to contract. The mechanical movement (contraction) of the fish corpse created water disturbances that propagated through the perforated divider to the upper compartment where the eel detected them. A non-perforated divider would have blocked water movement and the eel could not have detected the fish's contraction.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2B frame 1 shows the BEGINNING of the high-voltage impulse sequence (following the low-voltage impulse). By the time high-voltage impulses start, the LOW-VOLTAGE impulse has ALREADY been emitted and the fish corpse has ALREADY twitched (contracted) in response to the low-voltage stimulation. The eel detects the mechanical response of the corpse (via mechanoreceptors) BEFORE the high-voltage impulses begin. Therefore, the first frame (when HV begins) is captured AFTER the corpse has already contracted, not before.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experiment directly contradicts this. The eel attacked the CONDUCTIVE ROD (which distorts the electric field produced by high-voltage impulses) rather than the fish corpse (which was mechanically detected but physically located elsewhere). This shows that for the FINAL PRECISE LOCALIZATION that precedes an attack, the eel relies on ELECTRORECEPTORS (detecting how objects distort the HV electric field) rather than mechanoreceptors. Mechanoreceptors detected the initial prey twitch, but electroreceptors guided the attack.</w:t>
            </w:r>
          </w:p>
        </w:tc>
      </w:tr>
    </w:tbl>
    <w:p>
      <w:pPr>
        <w:spacing w:after="280"/>
      </w:pPr>
    </w:p>
    <w:p>
      <w:pPr>
        <w:pStyle w:val="Heading2"/>
        <w:spacing w:after="120" w:before="240"/>
      </w:pPr>
      <w:r>
        <w:rPr>
          <w:rFonts w:ascii="Arial" w:cs="Arial" w:eastAsia="Arial" w:hAnsi="Arial"/>
          <w:b/>
          <w:bCs/>
          <w:color w:val="1F4E79"/>
          <w:sz w:val="26"/>
          <w:szCs w:val="26"/>
        </w:rPr>
        <w:t xml:space="preserve">Question 43 — Animal Anatomy &amp; Physiology — Saiga Nasal Anatomy and Wolf Predation</w:t>
      </w:r>
    </w:p>
    <w:p>
      <w:pPr>
        <w:spacing w:after="140" w:before="60"/>
      </w:pPr>
      <w:r>
        <w:rPr>
          <w:rFonts w:ascii="Arial" w:cs="Arial" w:eastAsia="Arial" w:hAnsi="Arial"/>
          <w:i/>
          <w:iCs/>
          <w:color w:val="404040"/>
          <w:sz w:val="21"/>
          <w:szCs w:val="21"/>
        </w:rPr>
        <w:t xml:space="preserve">Context: Saigas have enlarged nasal cavities visible in CT scans (sections A-I). Structure 'wy' in D,E: part of the nasal cavity anatomy. Saiga speed: 75-80 km/h; wolf speed: 40-45 km/h. Weight per cm² support: saiga=500 g/cm², wolf=160 g/cm². The large nasal cavity likely functions in air warming/humidification and dust filtration in steppe environments.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In CT scanning, BONE appears as the DARKEST areas (highest radiodensity on CT, shown as white/bright on CT images, but the question refers to darkest areas in this specific image representation). However, in the provided CT images, the eye sockets (orbits) and some cartilaginous structures appear as lighter gray rather than the darkest black areas. The statement claims bones correspond ONLY to the darkest areas — this is false because soft tissue, air-filled sinuses, and bone have different CT densities, and the darkest areas (least dense) represent AIR-filled spaces, not bone.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According to fluid dynamics (continuity equation and Poiseuille's Law), when a fluid flows from a NARROW passage (nostrils 'n') into a WIDER passage (nasal cavity, vn in section C), the flow rate is conserved but the VELOCITY DECREASES as cross-sectional area increases. The nostrils are narrow; the nasal cavity (section C) is much wider. Therefore, linear flow rate (air velocity) in the nostrils is HIGHER than in the nasal cavity (vn) — the opposite of what the statement claims.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Structure 'wy' visible in sections D and E is the TONGUE (lingua) — the large muscular organ visible in the mid-sections of the head CT. The tongue's primary functions are food manipulation, swallowing, and sound production (vocalizations/bleating). Dust removal from air is performed by cilia, mucus, and turbinate structures (nasal conchae/turbinates) in the nasal cavity — NOT by the tongue. The tongue has no role in air filtration.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Saigas have very high weight per unit hoof area (500 g/cm² vs. wolf's 160 g/cm²). In SNOWY conditions, saigas' hooves sink deeper into snow (higher pressure per unit area), getting stuck and severely limiting their running speed. Wolves, with lower weight per cm² of paw, have much better traction on snow and remain mobile. Therefore, WINTER (snowy conditions) is when wolves have the GREATEST advantage over saigas — they can close the speed gap because saigas flounder in deep snow. Wolves actually hunt saigas MORE successfully in WINTER, not summer.</w:t>
            </w:r>
          </w:p>
        </w:tc>
      </w:tr>
    </w:tbl>
    <w:p>
      <w:pPr>
        <w:spacing w:after="280"/>
      </w:pPr>
    </w:p>
    <w:p>
      <w:pPr>
        <w:pStyle w:val="Heading2"/>
        <w:spacing w:after="120" w:before="240"/>
      </w:pPr>
      <w:r>
        <w:rPr>
          <w:rFonts w:ascii="Arial" w:cs="Arial" w:eastAsia="Arial" w:hAnsi="Arial"/>
          <w:b/>
          <w:bCs/>
          <w:color w:val="1F4E79"/>
          <w:sz w:val="26"/>
          <w:szCs w:val="26"/>
        </w:rPr>
        <w:t xml:space="preserve">Question 44 — Animal Anatomy &amp; Physiology — TLR7/8 Activation in Sperm Sex Sorting</w:t>
      </w:r>
    </w:p>
    <w:p>
      <w:pPr>
        <w:spacing w:after="140" w:before="60"/>
      </w:pPr>
      <w:r>
        <w:rPr>
          <w:rFonts w:ascii="Arial" w:cs="Arial" w:eastAsia="Arial" w:hAnsi="Arial"/>
          <w:i/>
          <w:iCs/>
          <w:color w:val="404040"/>
          <w:sz w:val="21"/>
          <w:szCs w:val="21"/>
        </w:rPr>
        <w:t xml:space="preserve">Context: ~50% of sperm express TLR7/8 (encoded on X chromosome) → X-bearing sperm. R848 is TLR7/8 ligand. Swim-up method: more motile sperm rise to upper layer. Figure 2A: VSL (straight-line velocity) with/without R848 at different glucose concentrations. Figure 2B: distribution of X vs Y sperm in upper layer after R848 treatment. Figure 2C: sex of embryos from IVF using untreated, upper-layer (U), or lower-layer (L) sperm after R848.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TLR7/8 is expressed on X-bearing sperm. R848 ACTIVATES TLR7/8, which DECREASES the progressive motility (VSL — straight-line velocity) of X-bearing sperm (as shown in Figure 2A, where R848 treatment reduces VSL significantly at higher glucose concentrations). X-bearing sperm with activated TLR7/8 move more slowly. Y-bearing sperm (without TLR7/8) are unaffected by R848 and maintain normal motility. Therefore, activation of TLR7/8 DECREASES (not increases) motility of the expressing sperm.</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After R848 treatment, X-bearing sperm have reduced motility and are less likely to swim up to the upper layer. Y-bearing sperm (no TLR7/8, normal motility) preferentially accumulate in the UPPER layer. Figure 2B confirms that after R848 treatment, the upper layer is enriched for Y-chromosome-bearing sperm. Figure 2C shows that IVF with upper-layer sperm (U after R848) produces embryos where MORE THAN 80% are XY (male). This is confirmed by the data.</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R848 selectively impairs X-bearing sperm motility (via TLR7/8 activation). The swim-up method then physically separates fast-moving (Y-bearing) sperm (upper layer) from slow-moving (X-bearing, TLR7/8-activated) sperm (lower layer). Figure 2B shows significant enrichment of Y-bearing sperm in the upper layer after R848 treatment. Figure 2C shows that IVF with upper-layer sperm produces predominantly XY embryos and lower-layer sperm produces predominantly XX embryos. Combined, this method effectively sorts X from Y sperm.</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Figure 2A shows that the SIGNIFICANT effect of R848 on VSL (straight-line velocity) — the difference between C (control) and R (R848-treated) groups marked with '*' for significance — is observed primarily at HIGHER glucose concentrations. At zero or very low glucose concentrations, the difference between C and R is NOT statistically significant ('*' is absent). This indicates that TLR7/8 activation's effect on sperm motility requires adequate glucose — the signaling pathway activated by TLR7/8 that impairs motility likely depends on metabolic activity fueled by glucose.</w:t>
            </w:r>
          </w:p>
        </w:tc>
      </w:tr>
    </w:tbl>
    <w:p>
      <w:pPr>
        <w:spacing w:after="280"/>
      </w:pPr>
    </w:p>
    <w:p>
      <w:pPr>
        <w:pStyle w:val="Heading2"/>
        <w:spacing w:after="120" w:before="240"/>
      </w:pPr>
      <w:r>
        <w:rPr>
          <w:rFonts w:ascii="Arial" w:cs="Arial" w:eastAsia="Arial" w:hAnsi="Arial"/>
          <w:b/>
          <w:bCs/>
          <w:color w:val="1F4E79"/>
          <w:sz w:val="26"/>
          <w:szCs w:val="26"/>
        </w:rPr>
        <w:t xml:space="preserve">Question 45 — Animal Anatomy &amp; Physiology — Vascularized Cardiac Tissue In Vitro</w:t>
      </w:r>
    </w:p>
    <w:p>
      <w:pPr>
        <w:spacing w:after="140" w:before="60"/>
      </w:pPr>
      <w:r>
        <w:rPr>
          <w:rFonts w:ascii="Arial" w:cs="Arial" w:eastAsia="Arial" w:hAnsi="Arial"/>
          <w:i/>
          <w:iCs/>
          <w:color w:val="404040"/>
          <w:sz w:val="21"/>
          <w:szCs w:val="21"/>
        </w:rPr>
        <w:t xml:space="preserve">Context: Transgenic rat cardiac cells (expressing luciferase) co-cultured with/without endothelial cells (EC) and/or FGF-2. Cell sheets placed on vascular bed. Fluorescence staining shows EC distribution (green dots). Bioluminescence (luciferase signal from luciferin infused via vascular bed) measured over time. FGF-2 promotes communication with vascular bed; EC form new blood vessels within the tissue sheet.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Figure 1B cross-sections show that EC(+) samples (with endothelial cells co-cultured) develop LUMINAL STRUCTURES (tubular vascular channels visible in cross-section, with white arrows indicating EC) within the cell sheet, while EC(-) samples lack these organized vascular networks. The EC organize into tube-like structures resembling capillaries. This demonstrates that co-culturing with endothelial cells significantly INCREASES the formation of new blood vessels (vasculogenesis/angiogenesis) within the tissue.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1B shows that in EC(+) FGF(+) samples, endothelial cells (green fluorescent dots) are ACTIVELY DISTRIBUTED throughout the cell sheet area — widely spread and forming networks. In EC(+) FGF(-) samples, EC are present but distributed differently (more clustered or at the periphery, less spread). FGF-2 (Fibroblast Growth Factor-2) is a well-known PROMOTER of endothelial cell migration, proliferation, and angiogenesis. FGF-2 STIMULATES EC activity — the statement that FGF-2 inhibits migration and proliferation is the opposite of its known function.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Figure 1C shows bioluminescence over time. The plateau phase of bioluminescence represents steady-state cell survival (when cell proliferation = cell death, the number of living luciferase-expressing cells is constant). Assuming identical proliferation rates, the plateau level reflects cell SURVIVAL RATE. EC(-) FGF(+) shows a higher plateau than EC(+) FGF(-) in Figure 1C. Without vascular supply (EC-), FGF-2 alone helps cells survive somewhat; with EC but without FGF-2, fewer cells survive. The combination EC(+) FGF(+) gives the highest survival/bioluminescence.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EC(+) FGF(+) condition shows VERY HIGH bioluminescence — much higher and faster-rising than all EC(-) conditions. Direct diffusion of luciferin through tissue layers would be equally available to ALL conditions (regardless of EC or FGF status) because the vascular bed is present in all cases and luciferin is small enough to diffuse. The fact that EC(-) conditions show much LOWER bioluminescence despite having the same vascular bed base demonstrates that simple diffusion is NOT the primary mechanism. The high EC(+) FGF(+) bioluminescence is mainly due to ACTIVE TRANSPORT of luciferin through the newly formed vascular network within the cell sheet.</w:t>
            </w:r>
          </w:p>
        </w:tc>
      </w:tr>
    </w:tbl>
    <w:p>
      <w:pPr>
        <w:spacing w:after="280"/>
      </w:pPr>
    </w:p>
    <w:p>
      <w:pPr>
        <w:pStyle w:val="Heading2"/>
        <w:spacing w:after="120" w:before="240"/>
      </w:pPr>
      <w:r>
        <w:rPr>
          <w:rFonts w:ascii="Arial" w:cs="Arial" w:eastAsia="Arial" w:hAnsi="Arial"/>
          <w:b/>
          <w:bCs/>
          <w:color w:val="1F4E79"/>
          <w:sz w:val="26"/>
          <w:szCs w:val="26"/>
        </w:rPr>
        <w:t xml:space="preserve">Question 46 — Animal Anatomy &amp; Physiology — Channelrhodopsin-2 (ChR2) in Hippocampal Neurons</w:t>
      </w:r>
    </w:p>
    <w:p>
      <w:pPr>
        <w:spacing w:after="140" w:before="60"/>
      </w:pPr>
      <w:r>
        <w:rPr>
          <w:rFonts w:ascii="Arial" w:cs="Arial" w:eastAsia="Arial" w:hAnsi="Arial"/>
          <w:i/>
          <w:iCs/>
          <w:color w:val="404040"/>
          <w:sz w:val="21"/>
          <w:szCs w:val="21"/>
        </w:rPr>
        <w:t xml:space="preserve">Context: ChR2 is a light-gated cation channel (passes Na⁺, K⁺, and Ca²⁺) expressed in hippocampal neurons via viral vector. Figure 1A: voltage traces with spikes from 1-second light pulses (4 trials). Figure 1B: subthreshold depolarizations from light pulses. Figure 1C: voltage responses to brief light pulse series — 3 out of 4 pulses trigger action potentials, the 4th does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Figure 1A shows that during 1-second light pulses, neurons fire multiple action potentials but with inconsistency — spikes do not occur at perfectly regular intervals during steady illumination. However, this inconsistency is NOT necessarily due to the neuron's maximum firing frequency limit. Figure 1C demonstrates that neurons CAN fire at higher frequencies than seen in Figure 1A (multiple brief-pulse-evoked APs in rapid succession). The inconsistency in Figure 1A during sustained illumination reflects ChR2's channel kinetics (light adaptation/desensitization of ChR2 current) rather than the neuron's intrinsic firing frequency limit.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In Figure 1C, the fourth light pulse does NOT trigger an action potential — the membrane depolarizes but doesn't reach threshold. This is NOT due to the absolute refractory period (during which NO stimulus can trigger an AP). The membrane potential shows the cell IS depolarizing in response to the fourth pulse (a subthreshold depolarization is visible), which is impossible during the ABSOLUTE refractory period (membrane cannot respond at all). This suggests the fourth pulse occurs during the RELATIVE refractory period or that ChR2 current was insufficient to reach threshold at that timing.</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Whether ChR2 is selective for Na⁺ alone or for both Na⁺ and K⁺: Na⁺ equilibrium potential ≈ +60 mV (far above resting membrane potential of -70 mV) → Na⁺ would flow IN, depolarizing the cell. K⁺ equilibrium potential ≈ -90 mV (below resting potential) → K⁺ would flow OUT, hyperpolarizing. However, at resting potential (-70 mV), there is a much LARGER driving force on Na⁺ (inward) than on K⁺ (outward). Even if K⁺ exits, the net effect of Na⁺+K⁺ combined through ChR2 is still inward current (depolarization) because Na⁺ current dominates. Light-induced depolarization would occur in both cases.</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For action potential generation, the light pulse must deliver sufficient depolarizing current to reach the threshold — any pulse duration longer than the minimum effective duration works (it's a threshold phenomenon, not highly sensitive to exact duration). For SUBTHRESHOLD depolarizations, the pulse must deliver enough current to significantly depolarize the membrane but NOT reach threshold — this requires more precise control of pulse length. Too short → minimal depolarization; too long → crosses threshold and fires AP. The 'window' for subthreshold responses is narrower, requiring more precise timing than for suprathreshold responses.</w:t>
            </w:r>
          </w:p>
        </w:tc>
      </w:tr>
    </w:tbl>
    <w:p>
      <w:pPr>
        <w:spacing w:after="280"/>
      </w:pPr>
    </w:p>
    <w:p>
      <w:pPr>
        <w:pStyle w:val="Heading2"/>
        <w:spacing w:after="120" w:before="240"/>
      </w:pPr>
      <w:r>
        <w:rPr>
          <w:rFonts w:ascii="Arial" w:cs="Arial" w:eastAsia="Arial" w:hAnsi="Arial"/>
          <w:b/>
          <w:bCs/>
          <w:color w:val="1F4E79"/>
          <w:sz w:val="26"/>
          <w:szCs w:val="26"/>
        </w:rPr>
        <w:t xml:space="preserve">Question 47 — Animal Anatomy &amp; Physiology — Cost of Transport (COT) in Locomotion</w:t>
      </w:r>
    </w:p>
    <w:p>
      <w:pPr>
        <w:spacing w:after="140" w:before="60"/>
      </w:pPr>
      <w:r>
        <w:rPr>
          <w:rFonts w:ascii="Arial" w:cs="Arial" w:eastAsia="Arial" w:hAnsi="Arial"/>
          <w:i/>
          <w:iCs/>
          <w:color w:val="404040"/>
          <w:sz w:val="21"/>
          <w:szCs w:val="21"/>
        </w:rPr>
        <w:t xml:space="preserve">Context: COT = a + bV + cV² where V is velocity (km/h). For cod: a=0.17, b=−0.22, c=0.14. Minimum COT found by dCOT/dV = 0 → b + 2cV = 0 → V = −b/(2c) = 0.22/0.28 ≈ 0.79 km/h. Flying birds require high energy to take off (overcome gravity) but very efficient at cruising. Running animals have multiple gaits, each with different O₂ consumption curves, creating a multi-modal speed distribution.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Flying birds face a unique challenge: they must generate LIFT to stay airborne. At very LOW speeds (just starting to move/fly), birds must expend substantial energy to generate lift — the oxygen consumption at minimum moving speed is HIGH. Unlike fish or terrestrial runners, which are passively supported by water/ground, birds at slow flight speeds expend enormous energy (high induced drag). Therefore, the minimum flying speed oxygen consumption for a bird would be HIGHER than a comparably sized cod, not lower.</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The minimum COT is found by taking dCOT/dV = 0: dCOT/dV = b + 2cV = 0 → V = −b/(2c) = −(−0.22)/(2×0.14) = 0.22/0.28 = 0.7857 km/h ≈ 0.79 km/h. The statement claims the minimum COT is at 0.6 km/h, which is INCORRECT. The correct value is approximately 0.79 km/h (approximately 0.8 km/h).</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Horses (and most quadrupeds) have multiple GAITS — walk, trot, canter, gallop — each with its own COT curve and its own minimum. Animals naturally select the gait whose minimum COT coincides with their current speed. Transitions between gaits occur at speed thresholds where one gait's COT is lower than the current gait's COT. This creates a MULTIMODAL distribution of speeds: horses spend time at the preferred speeds for each gait (walk minimum, trot minimum, canter minimum, gallop minimum) rather than at intermediate speeds between gaits. The distribution would have 3-4 peaks, not a single narrow range.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The cod's O₂ consumption vs. velocity curve shows a U-shaped or parabolic relationship (quadratic, from the c×V² term creating upward curvature). For running animals, air resistance is negligible (the c×V² drag term is essentially zero at biological running speeds). Without significant aerodynamic drag, the O₂ consumption vs. velocity relationship for running is approximately LINEAR (dominated by the metabolic cost of muscle work, which scales roughly linearly with velocity). Therefore, running animals' O₂ consumption curves are more linear than the cod's parabolic curve.</w:t>
            </w:r>
          </w:p>
        </w:tc>
      </w:tr>
    </w:tbl>
    <w:p>
      <w:pPr>
        <w:spacing w:after="280"/>
      </w:pPr>
    </w:p>
    <w:p>
      <w:pPr>
        <w:pStyle w:val="Heading2"/>
        <w:spacing w:after="120" w:before="240"/>
      </w:pPr>
      <w:r>
        <w:rPr>
          <w:rFonts w:ascii="Arial" w:cs="Arial" w:eastAsia="Arial" w:hAnsi="Arial"/>
          <w:b/>
          <w:bCs/>
          <w:color w:val="1F4E79"/>
          <w:sz w:val="26"/>
          <w:szCs w:val="26"/>
        </w:rPr>
        <w:t xml:space="preserve">Question 48 — Animal Anatomy &amp; Physiology — Helium Dilution Test for Residual Volume</w:t>
      </w:r>
    </w:p>
    <w:p>
      <w:pPr>
        <w:spacing w:after="140" w:before="60"/>
      </w:pPr>
      <w:r>
        <w:rPr>
          <w:rFonts w:ascii="Arial" w:cs="Arial" w:eastAsia="Arial" w:hAnsi="Arial"/>
          <w:i/>
          <w:iCs/>
          <w:color w:val="404040"/>
          <w:sz w:val="21"/>
          <w:szCs w:val="21"/>
        </w:rPr>
        <w:t xml:space="preserve">Context: RV calculation: Initial helium amount = C1×Vs = 10% × 5L = 0.5 L of He. After equilibration: He amount = C2×(Vsf+RV). Since He doesn't enter blood: C1×Vs = C2×(Vsf+RV) → RV = (C1×Vs)/C2 − Vsf. Healthy: RV = (0.10×5)/0.068 − 6.1 = 7.35−6.1 = 1.25 L. Patient 1: RV = (0.10×5)/0.065 − 5.6 = 7.69−5.6 = 2.09 L ≈ increased. Patient 2: RV = (0.10×5)/0.08 − 5.6 = 6.25−5.6 = 0.65 L = 650 mL (not 750 mL).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In Stage A (Figure 1A), the patient is attached to the spirometer after REGULAR EXPIRATION (at the end of a normal tidal breath — at functional residual capacity). The remaining lung volume after regular expiration is FRC = RV + ERV. Then the patient breathes normally several times to equilibrate He. In Stage B, the patient does a FULL FORCED EXPIRATION — expelling all expiratory reserve volume (ERV). The spirometer now contains: Vs (initial) + ERV (expired from patient's lungs into spirometer). Therefore Vsf = Vs + ERV is TRUE.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Calculation for Patient 2: Initial He = C1×Vs = 0.10×5 = 0.5 L. After equilibration: 0.5 = C2×(Vsf+RV) = 0.08×(5.6+RV). Therefore: 5.6+RV = 0.5/0.08 = 6.25 → RV = 6.25−5.6 = 0.65 L = 650 mL. The statement claims RV = 750 mL, but the correct calculation gives 650 mL. This is a numerical error in the statement.</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Patient 1 has increased RV (calculated ≈ 2.09 L vs. healthy control ≈ 1.25 L). If inspiratory capacity (IC = TV + IRV) is constant, then: Total Lung Capacity (TLC) = IC + FRC = IC + ERV + RV. Increased RV with constant IC means FRC increases, and therefore TLC increases — an overall LARGER lung volume. This is consistent with obstructive lung disease (e.g., emphysema) where air trapping increases RV and FRC, enlarging total lung volume. The explanation is mechanistically sound.</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A single-lung pneumothorax causes partial or complete collapse of one lung. Air enters the pleural space, reducing the lung's ability to expand. A partially collapsed lung has reduced volume — specifically reduced ERV (cannot fully inflate) and possibly reduced RV (less space in the thorax for gas trapping). The remaining functional lung volume would be smaller, meaning Vsf would be smaller (less ERV expelled) and the smaller total volume combined with helium would result in HIGHER final helium concentration (C2 = 8% in Patient 2, vs. 6.8% in healthy control). This matches Patient 2's data (Vsf=5.6L, C2=8%), consistent with reduced total lung volume from single-lung pneumothorax.</w:t>
            </w:r>
          </w:p>
        </w:tc>
      </w:tr>
    </w:tbl>
    <w:p>
      <w:pPr>
        <w:spacing w:after="280"/>
      </w:pPr>
    </w:p>
    <w:p>
      <w:pPr>
        <w:pStyle w:val="Heading2"/>
        <w:spacing w:after="120" w:before="240"/>
      </w:pPr>
      <w:r>
        <w:rPr>
          <w:rFonts w:ascii="Arial" w:cs="Arial" w:eastAsia="Arial" w:hAnsi="Arial"/>
          <w:b/>
          <w:bCs/>
          <w:color w:val="1F4E79"/>
          <w:sz w:val="26"/>
          <w:szCs w:val="26"/>
        </w:rPr>
        <w:t xml:space="preserve">Question 49 — Animal Anatomy &amp; Physiology — Esophageal Doppler Monitoring (EDM)</w:t>
      </w:r>
    </w:p>
    <w:p>
      <w:pPr>
        <w:spacing w:after="140" w:before="60"/>
      </w:pPr>
      <w:r>
        <w:rPr>
          <w:rFonts w:ascii="Arial" w:cs="Arial" w:eastAsia="Arial" w:hAnsi="Arial"/>
          <w:i/>
          <w:iCs/>
          <w:color w:val="404040"/>
          <w:sz w:val="21"/>
          <w:szCs w:val="21"/>
        </w:rPr>
        <w:t xml:space="preserve">Context: Δf = 2v×f₀×cos(θ)/c_s where cos(θ)=√2/2, c_s=1540 m/s, f₀=4 MHz. So Δf = 2v×4×10⁶×(√2/2)/1540 = v×(4×10⁶×√2)/1540. Figure 1B: velocity waveform — peak 100 cm/s, systole duration ≈ 1/3 s, period=1 s (HR=60 bpm). Aortic radius=1.25 cm. Stroke volume calculation: area under curve (triangle) ≈ ½×(1/3)×100 = 16.67 cm. Aortic cross-section = π×1.25² = 4.91 cm². Stroke volume = 16.67×4.91 ≈ 81.8 mL. CO = 81.8×60 = 4908 mL ≈ 4.9 L/min.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Tachycardia means increased HEART RATE (more beats per minute). Each waveform on the velocity-time graph represents one cardiac cycle (systole). If heart rate increases, the time between successive waveforms DECREASES — more waveforms pack into the same time period. The intervals between waveforms on the velocity-time graph would shorten, with waveforms occurring more frequently. This is TRUE by definition of tachycardia.</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High arterial resistance means the heart faces greater afterload — the ventricle must generate more pressure to overcome the resistance and eject blood. Higher resistance → higher impedance to flow → DECREASED peak blood flow velocity (the velocity reached during peak systole is REDUCED, not increased). Think of it as trying to push water through a narrower pipe — you can maintain the same pressure, but flow velocity decreases. Without cardiac compensation, higher resistance leads to LOWER peak velocity and reduced stroke volume.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Using the Doppler equation: v = Δf×c_s / (2×f₀×cos(θ)) = 4400 Hz × 1540 m/s / (2 × 4×10⁶ Hz × √2/2) = 6,776,000 / 5,656,854 ≈ 1.198 m/s ≈ 120 cm/s. The calculation confirms that a Δf of 4.4 kHz corresponds to peak velocity of approximately 120 cm/s. The statement is TRUE.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From Figure 1B: peak velocity = 100 cm/s, systolic duration ≈ 1/3 s (area under the triangular waveform). Distance = ½ × (1/3) × 100 = 16.67 cm. Aortic radius = 2.5 cm/2 = 1.25 cm. Cross-sectional area = π × (1.25)² = π × 1.5625 ≈ 4.909 cm². Stroke volume = 16.67 × 4.909 ≈ 81.8 mL. Heart rate from Figure 1B: period = 1 s → HR = 60 bpm. Cardiac output = 81.8 mL × 60 bpm = 4,908 mL/min ≈ 4.9 L/min. This matches the statement exactly.</w:t>
            </w:r>
          </w:p>
        </w:tc>
      </w:tr>
    </w:tbl>
    <w:p>
      <w:pPr>
        <w:spacing w:after="280"/>
      </w:pPr>
    </w:p>
    <w:p>
      <w:pPr>
        <w:pStyle w:val="Heading2"/>
        <w:spacing w:after="120" w:before="240"/>
      </w:pPr>
      <w:r>
        <w:rPr>
          <w:rFonts w:ascii="Arial" w:cs="Arial" w:eastAsia="Arial" w:hAnsi="Arial"/>
          <w:b/>
          <w:bCs/>
          <w:color w:val="1F4E79"/>
          <w:sz w:val="26"/>
          <w:szCs w:val="26"/>
        </w:rPr>
        <w:t xml:space="preserve">Question 50 — Animal Anatomy &amp; Physiology — Countercurrent System and Nephron Function</w:t>
      </w:r>
    </w:p>
    <w:p>
      <w:pPr>
        <w:spacing w:after="140" w:before="60"/>
      </w:pPr>
      <w:r>
        <w:rPr>
          <w:rFonts w:ascii="Arial" w:cs="Arial" w:eastAsia="Arial" w:hAnsi="Arial"/>
          <w:i/>
          <w:iCs/>
          <w:color w:val="404040"/>
          <w:sz w:val="21"/>
          <w:szCs w:val="21"/>
        </w:rPr>
        <w:t xml:space="preserve">Context: Figure 1B shows the nephron: descending limb (1), ascending limb (2), collecting duct (3), and vasa recta. Osmolarity values: top of loop: 290 mOsm/kg; middle: 1100 (interstitium), 700 (ascending limb); deepest: 2000 (interstitium), 1800 (descending), 1600 (collecting). Vasa recta regions P and Q. Figure 1A shows a mechanical countercurrent multiplier with semipermeable membrane and external pressure 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1000"/>
        <w:gridCol w:w="7610"/>
      </w:tblGrid>
      <w:tr>
        <w:trPr>
          <w:tblHeader/>
        </w:trPr>
        <w:tc>
          <w:tcPr>
            <w:tcW w:type="dxa" w:w="75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Sub-Q</w:t>
            </w:r>
          </w:p>
        </w:tc>
        <w:tc>
          <w:tcPr>
            <w:tcW w:type="dxa" w:w="1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Answer</w:t>
            </w:r>
          </w:p>
        </w:tc>
        <w:tc>
          <w:tcPr>
            <w:tcW w:type="dxa" w:w="761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Explanation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In Figure 1A (mechanical countercurrent multiplier), water movement across the semipermeable membrane is driven by HYDROSTATIC PRESSURE (pressure P from the pump/piston). In the Loop of Henle (nephron), water movement across the descending limb membrane is driven by OSMOTIC PRESSURE (osmotic gradient between tubular fluid and hypertonic interstitium). These are DIFFERENT forces — hydrostatic pressure vs. osmotic pressure. The statement claims they are driven by similar forces, which is FALSE.</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B</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The collecting duct (3) and the descending limb (1) are at the same horizontal level in Figure 1B but have DIFFERENT osmolalities (e.g., at the midpoint: collecting duct=560 mOsm/kg, descending limb=1100 mOsm/kg). While at the same depth, they differ because the collecting duct has had WATER REABSORBED by the time it reaches that level, but its solute composition differs from the descending limb. The key reason for the osmolarity difference between descending limb and collecting duct at the same depth is SODIUM REABSORPTION in the ascending limb (which creates the hypertonic medullary gradient and removes Na from the tubular fluid in the ascending limb, but collecting duct gets concentrated by antidiuretic hormone-driven water reabsorption).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w:t>
            </w:r>
          </w:p>
        </w:tc>
        <w:tc>
          <w:tcPr>
            <w:tcW w:type="dxa" w:w="1000"/>
            <w:tcBorders>
              <w:top w:val="single" w:color="CCCCCC" w:sz="4"/>
              <w:left w:val="single" w:color="CCCCCC" w:sz="4"/>
              <w:bottom w:val="single" w:color="CCCCCC" w:sz="4"/>
              <w:right w:val="single" w:color="CCCCCC" w:sz="4"/>
            </w:tcBorders>
            <w:shd w:fill="FCE4EC" w:val="clear"/>
            <w:tcMar>
              <w:top w:type="dxa" w:w="80"/>
              <w:left w:type="dxa" w:w="120"/>
              <w:bottom w:type="dxa" w:w="80"/>
              <w:right w:type="dxa" w:w="120"/>
            </w:tcMar>
            <w:vAlign w:val="center"/>
          </w:tcPr>
          <w:p>
            <w:pPr>
              <w:jc w:val="center"/>
            </w:pPr>
            <w:r>
              <w:rPr>
                <w:rFonts w:ascii="Arial" w:cs="Arial" w:eastAsia="Arial" w:hAnsi="Arial"/>
                <w:b/>
                <w:bCs/>
                <w:color w:val="B71C1C"/>
                <w:sz w:val="20"/>
                <w:szCs w:val="20"/>
              </w:rPr>
              <w:t xml:space="preserve">FALSE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FALSE. Region Q is at the bottom of the vasa recta (deep medulla). Looking at Figure 1B, the interstitial osmolarity at the deep medulla (region where Q is labeled) is approximately 2000 mOsm/kg. For blood in the vasa recta at region Q to equilibrate with the surrounding hypertonic interstitium (2000 mOsm/kg), the blood osmolarity at Q must APPROACH 2000 mOsm/kg — certainly ABOVE 290 mOsm/kg. The statement claims osmolarity is BETWEEN 100 and 290 mOsm/kg, which is far too low for the deep medullary region.</w:t>
            </w:r>
          </w:p>
        </w:tc>
      </w:tr>
      <w:tr>
        <w:tc>
          <w:tcPr>
            <w:tcW w:type="dxa" w:w="750"/>
            <w:tcBorders>
              <w:top w:val="single" w:color="CCCCCC" w:sz="4"/>
              <w:left w:val="single" w:color="CCCCCC" w:sz="4"/>
              <w:bottom w:val="single" w:color="CCCCCC" w:sz="4"/>
              <w:right w:val="single" w:color="CCCCCC" w:sz="4"/>
            </w:tcBorders>
            <w:shd w:fill="F5F5F5"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w:t>
            </w:r>
          </w:p>
        </w:tc>
        <w:tc>
          <w:tcPr>
            <w:tcW w:type="dxa" w:w="100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vAlign w:val="center"/>
          </w:tcPr>
          <w:p>
            <w:pPr>
              <w:jc w:val="center"/>
            </w:pPr>
            <w:r>
              <w:rPr>
                <w:rFonts w:ascii="Arial" w:cs="Arial" w:eastAsia="Arial" w:hAnsi="Arial"/>
                <w:b/>
                <w:bCs/>
                <w:color w:val="276221"/>
                <w:sz w:val="20"/>
                <w:szCs w:val="20"/>
              </w:rPr>
              <w:t xml:space="preserve">TRUE ✓</w:t>
            </w:r>
          </w:p>
        </w:tc>
        <w:tc>
          <w:tcPr>
            <w:tcW w:type="dxa" w:w="761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pPr>
              <w:spacing w:after="0"/>
            </w:pPr>
            <w:r>
              <w:rPr>
                <w:rFonts w:ascii="Arial" w:cs="Arial" w:eastAsia="Arial" w:hAnsi="Arial"/>
                <w:sz w:val="20"/>
                <w:szCs w:val="20"/>
              </w:rPr>
              <w:t xml:space="preserve">TRUE. Blood ENTERS the vasa recta at the cortex (region P, osmolarity ≈290 mOsm/kg) and flows deep into the medulla, picking up NaCl and urea from the hypertonic interstitium (osmolarity increases as blood descends). At region Q (deep medulla), blood has equilibrated with the 2000 mOsm/kg interstitium and has high osmolarity. Blood then flows back up, losing solutes back to the interstitium (returns to ≈290 mOsm/kg at cortex). Therefore, blood ENTERING at Q (from the descending vasa recta, high osmolarity after descending through medulla) has HIGHER osmolarity than blood LEAVING at Q (ascending vasa recta, which has already lost solutes on the way back up). Blood entering Q is more concentrated than blood leaving Q.</w:t>
            </w:r>
          </w:p>
        </w:tc>
      </w:tr>
    </w:tbl>
    <w:p>
      <w:pPr>
        <w:spacing w:after="280"/>
      </w:pP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1F4E79"/>
      <w:sz w:val="36"/>
      <w:szCs w:val="36"/>
    </w:rPr>
  </w:style>
  <w:style w:type="paragraph" w:styleId="Heading2">
    <w:name w:val="Heading 2"/>
    <w:basedOn w:val="Normal"/>
    <w:next w:val="Normal"/>
    <w:qFormat/>
    <w:pPr>
      <w:spacing w:after="120" w:before="260"/>
      <w:outlineLvl w:val="1"/>
    </w:pPr>
    <w:rPr>
      <w:rFonts w:ascii="Arial" w:cs="Arial" w:eastAsia="Arial" w:hAnsi="Arial"/>
      <w:b/>
      <w:bCs/>
      <w:color w:val="1F4E7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2026-08-07T05:47:26.720Z</dcterms:created>
  <dcterms:modified xsi:type="dcterms:W3CDTF">2026-08-07T05:47:26.720Z</dcterms:modified>
</cp:coreProperties>
</file>

<file path=docProps/custom.xml><?xml version="1.0" encoding="utf-8"?>
<Properties xmlns="http://schemas.openxmlformats.org/officeDocument/2006/custom-properties" xmlns:vt="http://schemas.openxmlformats.org/officeDocument/2006/docPropsVTypes"/>
</file>